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262B" w14:textId="2FC163A9" w:rsidR="003702C0" w:rsidRPr="003702C0" w:rsidRDefault="00B02ABC" w:rsidP="003702C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702C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</w:t>
      </w:r>
      <w:r w:rsidR="004E7ADC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3702C0">
        <w:rPr>
          <w:rFonts w:ascii="Times New Roman" w:hAnsi="Times New Roman" w:cs="Times New Roman"/>
          <w:b/>
          <w:bCs/>
          <w:sz w:val="28"/>
          <w:szCs w:val="28"/>
          <w:lang w:val="en-US"/>
        </w:rPr>
        <w:t>aterial</w:t>
      </w:r>
    </w:p>
    <w:p w14:paraId="73EEEC0C" w14:textId="77777777" w:rsidR="003702C0" w:rsidRPr="003702C0" w:rsidRDefault="003702C0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F9ADB39" w14:textId="2E3E7F27" w:rsidR="003702C0" w:rsidRPr="003702C0" w:rsidRDefault="003702C0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702C0">
        <w:rPr>
          <w:rFonts w:ascii="Times New Roman" w:hAnsi="Times New Roman" w:cs="Times New Roman"/>
          <w:b/>
          <w:bCs/>
          <w:sz w:val="24"/>
          <w:szCs w:val="24"/>
          <w:lang w:val="en-US"/>
        </w:rPr>
        <w:t>Article Title:</w:t>
      </w:r>
      <w:r w:rsidRPr="003702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Motor Cortex Excitability in Early Adult Females with Adolescent Idiopathic Scoliosis during Spine Shape-Judgment: A TMS Motor </w:t>
      </w:r>
      <w:r w:rsidR="00ED20CF" w:rsidRPr="003702C0">
        <w:rPr>
          <w:rFonts w:ascii="Times New Roman" w:hAnsi="Times New Roman" w:cs="Times New Roman"/>
          <w:i/>
          <w:iCs/>
          <w:sz w:val="24"/>
          <w:szCs w:val="24"/>
          <w:lang w:val="en-US"/>
        </w:rPr>
        <w:t>Evoke</w:t>
      </w:r>
      <w:r w:rsidR="00ED20CF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3702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Potential Study</w:t>
      </w:r>
    </w:p>
    <w:p w14:paraId="7979C2CA" w14:textId="77777777" w:rsidR="003702C0" w:rsidRDefault="003702C0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6E1529F" w14:textId="77777777" w:rsidR="00ED20CF" w:rsidRDefault="003702C0" w:rsidP="00ED20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02C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 1</w:t>
      </w:r>
      <w:r w:rsidRPr="003702C0">
        <w:rPr>
          <w:rFonts w:ascii="Times New Roman" w:hAnsi="Times New Roman" w:cs="Times New Roman"/>
          <w:sz w:val="24"/>
          <w:szCs w:val="24"/>
          <w:lang w:val="en-US"/>
        </w:rPr>
        <w:t>: Trunk Appearance Perception Scale (TAPS)</w:t>
      </w:r>
      <w:r w:rsidR="00ED2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20CF" w:rsidRPr="000F190F">
        <w:rPr>
          <w:rFonts w:ascii="Times New Roman" w:hAnsi="Times New Roman" w:cs="Times New Roman"/>
          <w:sz w:val="24"/>
          <w:szCs w:val="24"/>
          <w:lang w:val="en-US"/>
        </w:rPr>
        <w:t>(Bago et al., 2010).</w:t>
      </w:r>
    </w:p>
    <w:p w14:paraId="78749920" w14:textId="4CE9EDC1" w:rsidR="00ED20CF" w:rsidRPr="00ED20CF" w:rsidRDefault="00ED20CF" w:rsidP="00ED20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20CF">
        <w:rPr>
          <w:rFonts w:ascii="Times New Roman" w:hAnsi="Times New Roman" w:cs="Times New Roman"/>
          <w:sz w:val="24"/>
          <w:szCs w:val="24"/>
          <w:lang w:val="en-US"/>
        </w:rPr>
        <w:t>Scoring Instructions: Each drawing is scored on a 5</w:t>
      </w:r>
      <w:r>
        <w:rPr>
          <w:rFonts w:ascii="Times New Roman" w:hAnsi="Times New Roman" w:cs="Times New Roman"/>
          <w:sz w:val="24"/>
          <w:szCs w:val="24"/>
          <w:lang w:val="en-US"/>
        </w:rPr>
        <w:t>-point scale</w:t>
      </w:r>
      <w:r w:rsidRPr="00ED20CF">
        <w:rPr>
          <w:rFonts w:ascii="Times New Roman" w:hAnsi="Times New Roman" w:cs="Times New Roman"/>
          <w:sz w:val="24"/>
          <w:szCs w:val="24"/>
          <w:lang w:val="en-US"/>
        </w:rPr>
        <w:t>, ranging from 1 (greatest perceived deformity) to 5 (least perceived deformity). In the provided sets, the far-right image represents a score of 1, while the far-left image represents a score of 5.</w:t>
      </w:r>
      <w:r w:rsidR="00483791" w:rsidRPr="00483791">
        <w:t xml:space="preserve"> </w:t>
      </w:r>
      <w:r w:rsidR="00483791" w:rsidRPr="00483791">
        <w:rPr>
          <w:rFonts w:ascii="Times New Roman" w:hAnsi="Times New Roman" w:cs="Times New Roman"/>
          <w:sz w:val="24"/>
          <w:szCs w:val="24"/>
          <w:lang w:val="en-US"/>
        </w:rPr>
        <w:t xml:space="preserve">The final TAPS score represents the </w:t>
      </w:r>
      <w:proofErr w:type="gramStart"/>
      <w:r w:rsidR="00483791" w:rsidRPr="00483791">
        <w:rPr>
          <w:rFonts w:ascii="Times New Roman" w:hAnsi="Times New Roman" w:cs="Times New Roman"/>
          <w:sz w:val="24"/>
          <w:szCs w:val="24"/>
          <w:lang w:val="en-US"/>
        </w:rPr>
        <w:t>mean</w:t>
      </w:r>
      <w:proofErr w:type="gramEnd"/>
      <w:r w:rsidR="00483791" w:rsidRPr="00483791">
        <w:rPr>
          <w:rFonts w:ascii="Times New Roman" w:hAnsi="Times New Roman" w:cs="Times New Roman"/>
          <w:sz w:val="24"/>
          <w:szCs w:val="24"/>
          <w:lang w:val="en-US"/>
        </w:rPr>
        <w:t xml:space="preserve"> of the three included items.</w:t>
      </w:r>
    </w:p>
    <w:p w14:paraId="6E3B2F7A" w14:textId="5F26239C" w:rsidR="00B02ABC" w:rsidRPr="00B02ABC" w:rsidRDefault="00ED20CF" w:rsidP="00ED20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D20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125EDE5" wp14:editId="729180AA">
            <wp:simplePos x="0" y="0"/>
            <wp:positionH relativeFrom="margin">
              <wp:align>center</wp:align>
            </wp:positionH>
            <wp:positionV relativeFrom="paragraph">
              <wp:posOffset>965200</wp:posOffset>
            </wp:positionV>
            <wp:extent cx="5760720" cy="4195445"/>
            <wp:effectExtent l="0" t="0" r="0" b="0"/>
            <wp:wrapTight wrapText="bothSides">
              <wp:wrapPolygon edited="0">
                <wp:start x="0" y="0"/>
                <wp:lineTo x="0" y="21479"/>
                <wp:lineTo x="21500" y="21479"/>
                <wp:lineTo x="21500" y="0"/>
                <wp:lineTo x="0" y="0"/>
              </wp:wrapPolygon>
            </wp:wrapTight>
            <wp:docPr id="125038688" name="Slika 3" descr="Slika na kojoj se prikazuje skeč, crtež, jednostavni crteži s par linija, teks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8688" name="Slika 3" descr="Slika na kojoj se prikazuje skeč, crtež, jednostavni crteži s par linija, tekst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20CF">
        <w:rPr>
          <w:rFonts w:ascii="Times New Roman" w:hAnsi="Times New Roman" w:cs="Times New Roman"/>
          <w:sz w:val="24"/>
          <w:szCs w:val="24"/>
          <w:lang w:val="en-US"/>
        </w:rPr>
        <w:t>Methodological Note:</w:t>
      </w:r>
      <w:r w:rsidRPr="00ED20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D20CF">
        <w:rPr>
          <w:rFonts w:ascii="Times New Roman" w:hAnsi="Times New Roman" w:cs="Times New Roman"/>
          <w:sz w:val="24"/>
          <w:szCs w:val="24"/>
          <w:lang w:val="en-US"/>
        </w:rPr>
        <w:t>To maintain the demographic relevance of the stimuli, the male-specific drawing sets were omitted from the presentation as all participants in the current study were female.</w:t>
      </w:r>
    </w:p>
    <w:sectPr w:rsidR="00B02ABC" w:rsidRPr="00B02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BC"/>
    <w:rsid w:val="002A3404"/>
    <w:rsid w:val="003702C0"/>
    <w:rsid w:val="00483791"/>
    <w:rsid w:val="004E7ADC"/>
    <w:rsid w:val="006D5A60"/>
    <w:rsid w:val="007F3EF3"/>
    <w:rsid w:val="00B02ABC"/>
    <w:rsid w:val="00B43BCF"/>
    <w:rsid w:val="00E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9DF6"/>
  <w15:chartTrackingRefBased/>
  <w15:docId w15:val="{47253575-654D-4CF0-BF72-E512EB59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02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2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2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2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2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2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2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2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2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2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2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2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2AB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2AB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2AB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2AB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2AB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2AB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2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2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2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2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2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2AB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02AB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2AB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2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2AB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2A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VIROVEC</dc:creator>
  <cp:keywords/>
  <dc:description/>
  <cp:lastModifiedBy>MATEJA VIROVEC</cp:lastModifiedBy>
  <cp:revision>6</cp:revision>
  <dcterms:created xsi:type="dcterms:W3CDTF">2026-01-28T10:36:00Z</dcterms:created>
  <dcterms:modified xsi:type="dcterms:W3CDTF">2026-01-28T12:57:00Z</dcterms:modified>
</cp:coreProperties>
</file>