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70" w:type="dxa"/>
        <w:jc w:val="center"/>
        <w:tblCellMar>
          <w:top w:w="15" w:type="dxa"/>
        </w:tblCellMar>
        <w:tblLook w:val="04A0" w:firstRow="1" w:lastRow="0" w:firstColumn="1" w:lastColumn="0" w:noHBand="0" w:noVBand="1"/>
      </w:tblPr>
      <w:tblGrid>
        <w:gridCol w:w="3816"/>
        <w:gridCol w:w="222"/>
        <w:gridCol w:w="222"/>
        <w:gridCol w:w="1793"/>
        <w:gridCol w:w="222"/>
        <w:gridCol w:w="222"/>
        <w:gridCol w:w="222"/>
        <w:gridCol w:w="1793"/>
        <w:gridCol w:w="222"/>
        <w:gridCol w:w="222"/>
        <w:gridCol w:w="222"/>
        <w:gridCol w:w="870"/>
        <w:gridCol w:w="222"/>
      </w:tblGrid>
      <w:tr w:rsidR="00523B72" w14:paraId="46745B66" w14:textId="77777777" w:rsidTr="0070111F">
        <w:trPr>
          <w:gridAfter w:val="1"/>
          <w:wAfter w:w="222" w:type="dxa"/>
          <w:trHeight w:val="243"/>
          <w:jc w:val="center"/>
        </w:trPr>
        <w:tc>
          <w:tcPr>
            <w:tcW w:w="10048" w:type="dxa"/>
            <w:gridSpan w:val="12"/>
            <w:tcBorders>
              <w:top w:val="nil"/>
              <w:left w:val="nil"/>
              <w:bottom w:val="single" w:sz="12" w:space="0" w:color="1B5A55"/>
              <w:right w:val="nil"/>
            </w:tcBorders>
            <w:noWrap/>
            <w:vAlign w:val="bottom"/>
          </w:tcPr>
          <w:p w14:paraId="63EE425A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</w:rPr>
              <w:t>Table 2. Comparison of Primary Outcomes between Subgroups with and without Previous Immunosuppressive Treatment</w:t>
            </w:r>
          </w:p>
        </w:tc>
      </w:tr>
      <w:tr w:rsidR="00523B72" w14:paraId="4CF7B03B" w14:textId="77777777" w:rsidTr="0070111F">
        <w:trPr>
          <w:gridAfter w:val="1"/>
          <w:wAfter w:w="222" w:type="dxa"/>
          <w:trHeight w:val="227"/>
          <w:jc w:val="center"/>
        </w:trPr>
        <w:tc>
          <w:tcPr>
            <w:tcW w:w="381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336B0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Primary Outcomes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B5E796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243D4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5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070E9CA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Initial Treatment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br/>
              <w:t>(n=13)</w:t>
            </w:r>
          </w:p>
        </w:tc>
        <w:tc>
          <w:tcPr>
            <w:tcW w:w="245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C5D90D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Second-line Treatment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  <w:vertAlign w:val="superscript"/>
              </w:rPr>
              <w:t>a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br/>
              <w:t>(n=21)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24AC6D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523B72" w14:paraId="041408AD" w14:textId="77777777" w:rsidTr="0070111F">
        <w:trPr>
          <w:gridAfter w:val="1"/>
          <w:wAfter w:w="222" w:type="dxa"/>
          <w:trHeight w:val="227"/>
          <w:jc w:val="center"/>
        </w:trPr>
        <w:tc>
          <w:tcPr>
            <w:tcW w:w="38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0B115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650D0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5721C4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72CC0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CA5B5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ADD013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</w:rPr>
              <w:t>P</w:t>
            </w:r>
          </w:p>
        </w:tc>
      </w:tr>
      <w:tr w:rsidR="00523B72" w14:paraId="0B28C85C" w14:textId="77777777" w:rsidTr="0070111F">
        <w:trPr>
          <w:gridAfter w:val="1"/>
          <w:wAfter w:w="222" w:type="dxa"/>
          <w:trHeight w:val="227"/>
          <w:jc w:val="center"/>
        </w:trPr>
        <w:tc>
          <w:tcPr>
            <w:tcW w:w="4260" w:type="dxa"/>
            <w:gridSpan w:val="3"/>
            <w:vMerge w:val="restart"/>
            <w:tcBorders>
              <w:top w:val="single" w:sz="12" w:space="0" w:color="1B5A55"/>
              <w:left w:val="nil"/>
              <w:bottom w:val="nil"/>
              <w:right w:val="nil"/>
            </w:tcBorders>
          </w:tcPr>
          <w:p w14:paraId="0F9D88EE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Total obinutuzumab dose during follow-up,g,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br/>
              <w:t>median(IQR)</w:t>
            </w:r>
          </w:p>
        </w:tc>
        <w:tc>
          <w:tcPr>
            <w:tcW w:w="2237" w:type="dxa"/>
            <w:gridSpan w:val="3"/>
            <w:tcBorders>
              <w:top w:val="single" w:sz="12" w:space="0" w:color="1B5A55"/>
              <w:left w:val="nil"/>
              <w:bottom w:val="nil"/>
              <w:right w:val="nil"/>
            </w:tcBorders>
            <w:noWrap/>
            <w:vAlign w:val="center"/>
          </w:tcPr>
          <w:p w14:paraId="299ABFC9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2.0(1.7-2.3)</w:t>
            </w:r>
          </w:p>
        </w:tc>
        <w:tc>
          <w:tcPr>
            <w:tcW w:w="222" w:type="dxa"/>
            <w:tcBorders>
              <w:top w:val="single" w:sz="12" w:space="0" w:color="1B5A55"/>
              <w:left w:val="nil"/>
              <w:bottom w:val="nil"/>
              <w:right w:val="nil"/>
            </w:tcBorders>
            <w:noWrap/>
            <w:vAlign w:val="center"/>
          </w:tcPr>
          <w:p w14:paraId="30BC487E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37" w:type="dxa"/>
            <w:gridSpan w:val="3"/>
            <w:tcBorders>
              <w:top w:val="single" w:sz="12" w:space="0" w:color="1B5A55"/>
              <w:left w:val="nil"/>
              <w:bottom w:val="nil"/>
              <w:right w:val="nil"/>
            </w:tcBorders>
            <w:noWrap/>
            <w:vAlign w:val="center"/>
          </w:tcPr>
          <w:p w14:paraId="4235CA06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2.0(1.62-2.38)</w:t>
            </w:r>
          </w:p>
        </w:tc>
        <w:tc>
          <w:tcPr>
            <w:tcW w:w="222" w:type="dxa"/>
            <w:tcBorders>
              <w:top w:val="single" w:sz="12" w:space="0" w:color="1B5A55"/>
              <w:left w:val="nil"/>
              <w:bottom w:val="nil"/>
              <w:right w:val="nil"/>
            </w:tcBorders>
            <w:noWrap/>
            <w:vAlign w:val="center"/>
          </w:tcPr>
          <w:p w14:paraId="24942BE0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0" w:type="dxa"/>
            <w:tcBorders>
              <w:top w:val="single" w:sz="12" w:space="0" w:color="1B5A55"/>
              <w:left w:val="nil"/>
              <w:bottom w:val="nil"/>
              <w:right w:val="nil"/>
            </w:tcBorders>
            <w:noWrap/>
            <w:vAlign w:val="center"/>
          </w:tcPr>
          <w:p w14:paraId="6363EA84" w14:textId="77777777" w:rsidR="00523B72" w:rsidRDefault="00523B72" w:rsidP="0070111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0.84</w:t>
            </w:r>
          </w:p>
        </w:tc>
      </w:tr>
      <w:tr w:rsidR="00523B72" w14:paraId="6869BAE2" w14:textId="77777777" w:rsidTr="0070111F">
        <w:trPr>
          <w:gridAfter w:val="1"/>
          <w:wAfter w:w="222" w:type="dxa"/>
          <w:trHeight w:val="227"/>
          <w:jc w:val="center"/>
        </w:trPr>
        <w:tc>
          <w:tcPr>
            <w:tcW w:w="4260" w:type="dxa"/>
            <w:gridSpan w:val="3"/>
            <w:vMerge/>
            <w:tcBorders>
              <w:top w:val="single" w:sz="12" w:space="0" w:color="1B5A55"/>
              <w:left w:val="nil"/>
              <w:bottom w:val="nil"/>
              <w:right w:val="nil"/>
            </w:tcBorders>
            <w:vAlign w:val="center"/>
          </w:tcPr>
          <w:p w14:paraId="369B354F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8E0E7" w14:textId="77777777" w:rsidR="00523B72" w:rsidRDefault="00523B72" w:rsidP="0070111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B8E984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E34080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2E3647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54272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2E49B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78FC4E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7408B1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7E254D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23B72" w14:paraId="1A0461C0" w14:textId="77777777" w:rsidTr="0070111F">
        <w:trPr>
          <w:gridAfter w:val="1"/>
          <w:wAfter w:w="222" w:type="dxa"/>
          <w:trHeight w:val="227"/>
          <w:jc w:val="center"/>
        </w:trPr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3B336DFB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Time to first remission,mo,mean±SD</w:t>
            </w:r>
          </w:p>
        </w:tc>
        <w:tc>
          <w:tcPr>
            <w:tcW w:w="2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3F0F1604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5.55±5.5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40CC7D81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7FF7A6D6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5AC84BF0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7.76±4.7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51161B1D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581B1B13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22EA8531" w14:textId="77777777" w:rsidR="00523B72" w:rsidRDefault="00523B72" w:rsidP="0070111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0.22</w:t>
            </w:r>
          </w:p>
        </w:tc>
      </w:tr>
      <w:tr w:rsidR="00523B72" w14:paraId="2E03DA0D" w14:textId="77777777" w:rsidTr="0070111F">
        <w:trPr>
          <w:gridAfter w:val="1"/>
          <w:wAfter w:w="222" w:type="dxa"/>
          <w:trHeight w:val="227"/>
          <w:jc w:val="center"/>
        </w:trPr>
        <w:tc>
          <w:tcPr>
            <w:tcW w:w="426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26B806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First relapse-free survival time during follow-up,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br/>
              <w:t>mo,mean±SD</w:t>
            </w:r>
          </w:p>
        </w:tc>
        <w:tc>
          <w:tcPr>
            <w:tcW w:w="20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E9DA4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5.51±5.34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A25FCB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19F99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949AE9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6.08±4.17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78674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BDF79E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D13C52" w14:textId="77777777" w:rsidR="00523B72" w:rsidRDefault="00523B72" w:rsidP="0070111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0.74</w:t>
            </w:r>
          </w:p>
        </w:tc>
      </w:tr>
      <w:tr w:rsidR="00523B72" w14:paraId="6AD04723" w14:textId="77777777" w:rsidTr="0070111F">
        <w:trPr>
          <w:gridAfter w:val="1"/>
          <w:wAfter w:w="222" w:type="dxa"/>
          <w:trHeight w:val="227"/>
          <w:jc w:val="center"/>
        </w:trPr>
        <w:tc>
          <w:tcPr>
            <w:tcW w:w="426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0EA67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BD6EC6" w14:textId="77777777" w:rsidR="00523B72" w:rsidRDefault="00523B72" w:rsidP="0070111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4F775A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A26DDF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5DC401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35127C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12FAC1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ACAE8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B6E573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8D24F9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23B72" w14:paraId="56D560BD" w14:textId="77777777" w:rsidTr="0070111F">
        <w:trPr>
          <w:gridAfter w:val="1"/>
          <w:wAfter w:w="222" w:type="dxa"/>
          <w:trHeight w:val="227"/>
          <w:jc w:val="center"/>
        </w:trPr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53460306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Remission rate during follow-up,n(%)</w:t>
            </w:r>
          </w:p>
        </w:tc>
        <w:tc>
          <w:tcPr>
            <w:tcW w:w="2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3FEEDA04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11(84.6%)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492EA751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1DD59C6E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26DEDECF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21(100%)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4F16838A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2DC124E5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65B11DE9" w14:textId="77777777" w:rsidR="00523B72" w:rsidRDefault="00523B72" w:rsidP="0070111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0.14</w:t>
            </w:r>
          </w:p>
        </w:tc>
      </w:tr>
      <w:tr w:rsidR="00523B72" w14:paraId="6DEDE16D" w14:textId="77777777" w:rsidTr="0070111F">
        <w:trPr>
          <w:gridAfter w:val="1"/>
          <w:wAfter w:w="222" w:type="dxa"/>
          <w:trHeight w:val="227"/>
          <w:jc w:val="center"/>
        </w:trPr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ED1E7B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Partial remission rate during follow-up,n(%)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B73D22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6(46.2%)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B12322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9DAAD8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AFCBA1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23AAF2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15(71.4%)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61B605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90A8D1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A95350" w14:textId="77777777" w:rsidR="00523B72" w:rsidRDefault="00523B72" w:rsidP="0070111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0.13</w:t>
            </w:r>
          </w:p>
        </w:tc>
      </w:tr>
      <w:tr w:rsidR="00523B72" w14:paraId="304C1F21" w14:textId="77777777" w:rsidTr="0070111F">
        <w:trPr>
          <w:gridAfter w:val="1"/>
          <w:wAfter w:w="222" w:type="dxa"/>
          <w:trHeight w:val="227"/>
          <w:jc w:val="center"/>
        </w:trPr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59EE09BB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Complete remission rate during follow-up,n(%)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1BF843F2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5(38.5%)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1E535BCE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7EF5ACD9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31F4F7D2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1DD3F7DA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6(28.6%)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67D82163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6985BFD5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4B1D4BA9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3DEC60D8" w14:textId="77777777" w:rsidR="00523B72" w:rsidRDefault="00523B72" w:rsidP="0070111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0.41</w:t>
            </w:r>
          </w:p>
        </w:tc>
      </w:tr>
      <w:tr w:rsidR="00523B72" w14:paraId="4273EBA4" w14:textId="77777777" w:rsidTr="0070111F">
        <w:trPr>
          <w:gridAfter w:val="1"/>
          <w:wAfter w:w="222" w:type="dxa"/>
          <w:trHeight w:val="227"/>
          <w:jc w:val="center"/>
        </w:trPr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2F499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Remission rate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  <w:szCs w:val="22"/>
              </w:rPr>
              <w:t>at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 6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  <w:szCs w:val="22"/>
              </w:rPr>
              <w:t xml:space="preserve"> months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,n(%)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7E99F3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7(53.8%)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E4EF99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87EC6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B442A1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6CE605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9(42.9%)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C104E3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E565B6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7BCA84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4E3CC" w14:textId="77777777" w:rsidR="00523B72" w:rsidRDefault="00523B72" w:rsidP="0070111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0.4</w:t>
            </w:r>
          </w:p>
        </w:tc>
      </w:tr>
      <w:tr w:rsidR="00523B72" w14:paraId="22340B24" w14:textId="77777777" w:rsidTr="0070111F">
        <w:trPr>
          <w:gridAfter w:val="1"/>
          <w:wAfter w:w="222" w:type="dxa"/>
          <w:trHeight w:val="227"/>
          <w:jc w:val="center"/>
        </w:trPr>
        <w:tc>
          <w:tcPr>
            <w:tcW w:w="4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7423C6F2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Remission rate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  <w:szCs w:val="22"/>
              </w:rPr>
              <w:t>at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 12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  <w:szCs w:val="22"/>
              </w:rPr>
              <w:t xml:space="preserve"> months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,n(%)</w:t>
            </w:r>
          </w:p>
        </w:tc>
        <w:tc>
          <w:tcPr>
            <w:tcW w:w="2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1B941FFC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10(76.9%)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1C9BD9F2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2204D2C3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2E163F02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17(81%)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267C0419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7EB5FAC9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2662EAB4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3BD2D4A1" w14:textId="77777777" w:rsidR="00523B72" w:rsidRDefault="00523B72" w:rsidP="0070111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0.56</w:t>
            </w:r>
          </w:p>
        </w:tc>
      </w:tr>
      <w:tr w:rsidR="00523B72" w14:paraId="211FFC22" w14:textId="77777777" w:rsidTr="0070111F">
        <w:trPr>
          <w:gridAfter w:val="1"/>
          <w:wAfter w:w="222" w:type="dxa"/>
          <w:trHeight w:val="312"/>
          <w:jc w:val="center"/>
        </w:trPr>
        <w:tc>
          <w:tcPr>
            <w:tcW w:w="10048" w:type="dxa"/>
            <w:gridSpan w:val="12"/>
            <w:vMerge w:val="restart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419C3813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 Abbreviation:IQR,interquartile range.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vertAlign w:val="superscript"/>
              </w:rPr>
              <w:t xml:space="preserve"> a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Have received immunosupressive therapies before using obinutuzumab.</w:t>
            </w:r>
          </w:p>
        </w:tc>
      </w:tr>
      <w:tr w:rsidR="00523B72" w14:paraId="43AAC9C6" w14:textId="77777777" w:rsidTr="0070111F">
        <w:trPr>
          <w:trHeight w:val="276"/>
          <w:jc w:val="center"/>
        </w:trPr>
        <w:tc>
          <w:tcPr>
            <w:tcW w:w="10048" w:type="dxa"/>
            <w:gridSpan w:val="12"/>
            <w:vMerge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631865E9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0A9960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</w:tbl>
    <w:p w14:paraId="34D79748" w14:textId="77777777" w:rsidR="00E023F9" w:rsidRDefault="00E023F9"/>
    <w:p w14:paraId="351EA513" w14:textId="77777777" w:rsidR="00523B72" w:rsidRDefault="00523B72"/>
    <w:tbl>
      <w:tblPr>
        <w:tblW w:w="10223" w:type="dxa"/>
        <w:tblInd w:w="-950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3846"/>
        <w:gridCol w:w="232"/>
        <w:gridCol w:w="233"/>
        <w:gridCol w:w="1806"/>
        <w:gridCol w:w="232"/>
        <w:gridCol w:w="232"/>
        <w:gridCol w:w="232"/>
        <w:gridCol w:w="1806"/>
        <w:gridCol w:w="232"/>
        <w:gridCol w:w="232"/>
        <w:gridCol w:w="235"/>
        <w:gridCol w:w="672"/>
        <w:gridCol w:w="233"/>
      </w:tblGrid>
      <w:tr w:rsidR="00523B72" w14:paraId="5D95A26D" w14:textId="77777777" w:rsidTr="0070111F">
        <w:trPr>
          <w:gridAfter w:val="1"/>
          <w:wAfter w:w="233" w:type="dxa"/>
          <w:trHeight w:val="183"/>
        </w:trPr>
        <w:tc>
          <w:tcPr>
            <w:tcW w:w="9318" w:type="dxa"/>
            <w:gridSpan w:val="11"/>
            <w:tcBorders>
              <w:top w:val="nil"/>
              <w:left w:val="nil"/>
              <w:bottom w:val="single" w:sz="12" w:space="0" w:color="1B5A55"/>
              <w:right w:val="nil"/>
            </w:tcBorders>
            <w:noWrap/>
            <w:vAlign w:val="bottom"/>
          </w:tcPr>
          <w:p w14:paraId="2E1D28F3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</w:rPr>
              <w:t>Table 3. Comparison of Primary Outcomes between Subgroups with and without Previous Rituximab Treatment</w:t>
            </w:r>
          </w:p>
        </w:tc>
        <w:tc>
          <w:tcPr>
            <w:tcW w:w="672" w:type="dxa"/>
            <w:tcBorders>
              <w:top w:val="nil"/>
              <w:left w:val="nil"/>
              <w:bottom w:val="single" w:sz="12" w:space="0" w:color="1B5A55"/>
              <w:right w:val="nil"/>
            </w:tcBorders>
            <w:noWrap/>
            <w:vAlign w:val="bottom"/>
          </w:tcPr>
          <w:p w14:paraId="2FB8BF74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</w:tr>
      <w:tr w:rsidR="00523B72" w14:paraId="22BA9279" w14:textId="77777777" w:rsidTr="0070111F">
        <w:trPr>
          <w:gridAfter w:val="1"/>
          <w:wAfter w:w="233" w:type="dxa"/>
          <w:trHeight w:val="171"/>
        </w:trPr>
        <w:tc>
          <w:tcPr>
            <w:tcW w:w="384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50EE8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Primary Outcomes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99B5EC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4D7D4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7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38C997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With Previous RTX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br/>
              <w:t>(n=15)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A7D26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7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ABFE5BC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Without Previous RTX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(n=19)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DD2959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882330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23B72" w14:paraId="16FB47D9" w14:textId="77777777" w:rsidTr="0070111F">
        <w:trPr>
          <w:gridAfter w:val="1"/>
          <w:wAfter w:w="233" w:type="dxa"/>
          <w:trHeight w:val="338"/>
        </w:trPr>
        <w:tc>
          <w:tcPr>
            <w:tcW w:w="384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201F9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629B60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EF9DA0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7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EBE65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AF62B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7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2A26A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DB1B2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D6D6CD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</w:rPr>
              <w:t>P</w:t>
            </w:r>
          </w:p>
        </w:tc>
      </w:tr>
      <w:tr w:rsidR="00523B72" w14:paraId="48AA5795" w14:textId="77777777" w:rsidTr="0070111F">
        <w:trPr>
          <w:gridAfter w:val="1"/>
          <w:wAfter w:w="233" w:type="dxa"/>
          <w:trHeight w:val="171"/>
        </w:trPr>
        <w:tc>
          <w:tcPr>
            <w:tcW w:w="4311" w:type="dxa"/>
            <w:gridSpan w:val="3"/>
            <w:vMerge w:val="restart"/>
            <w:tcBorders>
              <w:top w:val="single" w:sz="12" w:space="0" w:color="1B5A55"/>
              <w:left w:val="nil"/>
              <w:bottom w:val="nil"/>
              <w:right w:val="nil"/>
            </w:tcBorders>
          </w:tcPr>
          <w:p w14:paraId="41000D59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Total obinutuzumab dose during follow-up,g,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br/>
              <w:t>median(IQR)</w:t>
            </w:r>
          </w:p>
        </w:tc>
        <w:tc>
          <w:tcPr>
            <w:tcW w:w="2038" w:type="dxa"/>
            <w:gridSpan w:val="2"/>
            <w:tcBorders>
              <w:top w:val="single" w:sz="12" w:space="0" w:color="1B5A55"/>
              <w:left w:val="nil"/>
              <w:bottom w:val="nil"/>
              <w:right w:val="nil"/>
            </w:tcBorders>
            <w:noWrap/>
            <w:vAlign w:val="center"/>
          </w:tcPr>
          <w:p w14:paraId="3A0CEE0B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2.0(1.40-2.46)</w:t>
            </w:r>
          </w:p>
        </w:tc>
        <w:tc>
          <w:tcPr>
            <w:tcW w:w="232" w:type="dxa"/>
            <w:tcBorders>
              <w:top w:val="single" w:sz="12" w:space="0" w:color="1B5A55"/>
              <w:left w:val="nil"/>
              <w:bottom w:val="nil"/>
              <w:right w:val="nil"/>
            </w:tcBorders>
            <w:noWrap/>
            <w:vAlign w:val="center"/>
          </w:tcPr>
          <w:p w14:paraId="1D14E641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2" w:type="dxa"/>
            <w:tcBorders>
              <w:top w:val="single" w:sz="12" w:space="0" w:color="1B5A55"/>
              <w:left w:val="nil"/>
              <w:bottom w:val="nil"/>
              <w:right w:val="nil"/>
            </w:tcBorders>
            <w:noWrap/>
            <w:vAlign w:val="center"/>
          </w:tcPr>
          <w:p w14:paraId="45D1FF50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70" w:type="dxa"/>
            <w:gridSpan w:val="3"/>
            <w:tcBorders>
              <w:top w:val="single" w:sz="12" w:space="0" w:color="1B5A55"/>
              <w:left w:val="nil"/>
              <w:bottom w:val="nil"/>
              <w:right w:val="nil"/>
            </w:tcBorders>
            <w:noWrap/>
            <w:vAlign w:val="center"/>
          </w:tcPr>
          <w:p w14:paraId="243C86A4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2.0(1.82-2.27)</w:t>
            </w:r>
          </w:p>
        </w:tc>
        <w:tc>
          <w:tcPr>
            <w:tcW w:w="235" w:type="dxa"/>
            <w:tcBorders>
              <w:top w:val="single" w:sz="12" w:space="0" w:color="1B5A55"/>
              <w:left w:val="nil"/>
              <w:bottom w:val="nil"/>
              <w:right w:val="nil"/>
            </w:tcBorders>
            <w:noWrap/>
            <w:vAlign w:val="center"/>
          </w:tcPr>
          <w:p w14:paraId="41060E9B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72" w:type="dxa"/>
            <w:tcBorders>
              <w:top w:val="single" w:sz="12" w:space="0" w:color="1B5A55"/>
              <w:left w:val="nil"/>
              <w:bottom w:val="nil"/>
              <w:right w:val="nil"/>
            </w:tcBorders>
            <w:noWrap/>
            <w:vAlign w:val="center"/>
          </w:tcPr>
          <w:p w14:paraId="206B1FA9" w14:textId="77777777" w:rsidR="00523B72" w:rsidRDefault="00523B72" w:rsidP="0070111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0.42</w:t>
            </w:r>
          </w:p>
        </w:tc>
      </w:tr>
      <w:tr w:rsidR="00523B72" w14:paraId="0E925ED3" w14:textId="77777777" w:rsidTr="0070111F">
        <w:trPr>
          <w:gridAfter w:val="1"/>
          <w:wAfter w:w="233" w:type="dxa"/>
          <w:trHeight w:val="171"/>
        </w:trPr>
        <w:tc>
          <w:tcPr>
            <w:tcW w:w="4311" w:type="dxa"/>
            <w:gridSpan w:val="3"/>
            <w:vMerge/>
            <w:tcBorders>
              <w:top w:val="single" w:sz="12" w:space="0" w:color="1B5A55"/>
              <w:left w:val="nil"/>
              <w:bottom w:val="nil"/>
              <w:right w:val="nil"/>
            </w:tcBorders>
            <w:vAlign w:val="center"/>
          </w:tcPr>
          <w:p w14:paraId="49EECA04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C8E1F4" w14:textId="77777777" w:rsidR="00523B72" w:rsidRDefault="00523B72" w:rsidP="0070111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913A0F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6D4B48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EDF07B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2F8B08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F57E69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FF4713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56A84D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836A51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23B72" w14:paraId="2F5DFF07" w14:textId="77777777" w:rsidTr="0070111F">
        <w:trPr>
          <w:gridAfter w:val="1"/>
          <w:wAfter w:w="233" w:type="dxa"/>
          <w:trHeight w:val="171"/>
        </w:trPr>
        <w:tc>
          <w:tcPr>
            <w:tcW w:w="43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204C7D60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Time to first remission,mo,mean±SD</w:t>
            </w:r>
          </w:p>
        </w:tc>
        <w:tc>
          <w:tcPr>
            <w:tcW w:w="2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3172929C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7.48±4.74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136F3022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2B964A71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3FB28C78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6.58±4.93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3FC3B302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51B71E48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79117FBA" w14:textId="77777777" w:rsidR="00523B72" w:rsidRDefault="00523B72" w:rsidP="0070111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0.2</w:t>
            </w:r>
          </w:p>
        </w:tc>
      </w:tr>
      <w:tr w:rsidR="00523B72" w14:paraId="011C3563" w14:textId="77777777" w:rsidTr="0070111F">
        <w:trPr>
          <w:gridAfter w:val="1"/>
          <w:wAfter w:w="233" w:type="dxa"/>
          <w:trHeight w:val="171"/>
        </w:trPr>
        <w:tc>
          <w:tcPr>
            <w:tcW w:w="431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40D7E25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First relapse-free survival time during follow-up,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br/>
              <w:t>mo,mean±SD</w:t>
            </w:r>
          </w:p>
        </w:tc>
        <w:tc>
          <w:tcPr>
            <w:tcW w:w="20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AD19AC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6.08±4.43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BEB939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47C1A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9B45B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5.71±4.74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78E8C4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867BA6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425DFC" w14:textId="77777777" w:rsidR="00523B72" w:rsidRDefault="00523B72" w:rsidP="0070111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0.22</w:t>
            </w:r>
          </w:p>
        </w:tc>
      </w:tr>
      <w:tr w:rsidR="00523B72" w14:paraId="18C17EAC" w14:textId="77777777" w:rsidTr="0070111F">
        <w:trPr>
          <w:gridAfter w:val="1"/>
          <w:wAfter w:w="233" w:type="dxa"/>
          <w:trHeight w:val="171"/>
        </w:trPr>
        <w:tc>
          <w:tcPr>
            <w:tcW w:w="431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8CA38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B2831D" w14:textId="77777777" w:rsidR="00523B72" w:rsidRDefault="00523B72" w:rsidP="0070111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CBA6E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68C34F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199421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547515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1C57DC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63535C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81D25A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6FB00C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23B72" w14:paraId="4077AC1D" w14:textId="77777777" w:rsidTr="0070111F">
        <w:trPr>
          <w:gridAfter w:val="1"/>
          <w:wAfter w:w="233" w:type="dxa"/>
          <w:trHeight w:val="196"/>
        </w:trPr>
        <w:tc>
          <w:tcPr>
            <w:tcW w:w="43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52255CCF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Remission rate during follow-up,n(%)</w:t>
            </w:r>
            <w:r>
              <w:rPr>
                <w:rFonts w:ascii="Times New Roman" w:eastAsia="SimSun" w:hAnsi="Times New Roman" w:cs="Times New Roman"/>
                <w:color w:val="4874CB"/>
                <w:kern w:val="0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2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7E66403F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15(100%)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33BBA2EE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4066499F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2F232557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17(89.5%)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725C4681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5909C324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669014B7" w14:textId="77777777" w:rsidR="00523B72" w:rsidRDefault="00523B72" w:rsidP="0070111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0.31</w:t>
            </w:r>
          </w:p>
        </w:tc>
      </w:tr>
      <w:tr w:rsidR="00523B72" w14:paraId="3FDCC920" w14:textId="77777777" w:rsidTr="0070111F">
        <w:trPr>
          <w:gridAfter w:val="1"/>
          <w:wAfter w:w="233" w:type="dxa"/>
          <w:trHeight w:val="171"/>
        </w:trPr>
        <w:tc>
          <w:tcPr>
            <w:tcW w:w="43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12A322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Partial remission rate during follow-up,n(%)</w:t>
            </w:r>
          </w:p>
        </w:tc>
        <w:tc>
          <w:tcPr>
            <w:tcW w:w="20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93DF2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10(66.7%)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9A4AA7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2EA510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7F19B9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11(57.9%)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0AAFEA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0B7875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8C8D1" w14:textId="77777777" w:rsidR="00523B72" w:rsidRDefault="00523B72" w:rsidP="0070111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0.43</w:t>
            </w:r>
          </w:p>
        </w:tc>
      </w:tr>
      <w:tr w:rsidR="00523B72" w14:paraId="4BED15AA" w14:textId="77777777" w:rsidTr="0070111F">
        <w:trPr>
          <w:gridAfter w:val="1"/>
          <w:wAfter w:w="233" w:type="dxa"/>
          <w:trHeight w:val="171"/>
        </w:trPr>
        <w:tc>
          <w:tcPr>
            <w:tcW w:w="43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141CAA3E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Complete remission rate during follow-up,n(%)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2ABBC94B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5(33.3%)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012601A4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2A199751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32CED4BF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43C46BF4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6(31.6%)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616E598D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616E5993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616F570F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076BC18E" w14:textId="77777777" w:rsidR="00523B72" w:rsidRDefault="00523B72" w:rsidP="0070111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0.6</w:t>
            </w:r>
          </w:p>
        </w:tc>
      </w:tr>
      <w:tr w:rsidR="00523B72" w14:paraId="61D11925" w14:textId="77777777" w:rsidTr="0070111F">
        <w:trPr>
          <w:gridAfter w:val="1"/>
          <w:wAfter w:w="233" w:type="dxa"/>
          <w:trHeight w:val="171"/>
        </w:trPr>
        <w:tc>
          <w:tcPr>
            <w:tcW w:w="431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4F39F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Remission rate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  <w:szCs w:val="22"/>
              </w:rPr>
              <w:t>at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 6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  <w:szCs w:val="22"/>
              </w:rPr>
              <w:t xml:space="preserve"> months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,n(%)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E304EF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5(33.3%)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412D6D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7877F4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9E9ED0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F5CDE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11(57.9%)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DA792D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67ACF4" w14:textId="77777777" w:rsidR="00523B72" w:rsidRDefault="00523B72" w:rsidP="007011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63055A" w14:textId="77777777" w:rsidR="00523B72" w:rsidRDefault="00523B72" w:rsidP="0070111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0.14</w:t>
            </w:r>
          </w:p>
        </w:tc>
      </w:tr>
      <w:tr w:rsidR="00523B72" w14:paraId="16819F4B" w14:textId="77777777" w:rsidTr="0070111F">
        <w:trPr>
          <w:gridAfter w:val="1"/>
          <w:wAfter w:w="233" w:type="dxa"/>
          <w:trHeight w:val="171"/>
        </w:trPr>
        <w:tc>
          <w:tcPr>
            <w:tcW w:w="43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2DBE9D46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Remission rate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  <w:szCs w:val="22"/>
              </w:rPr>
              <w:t>at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2"/>
                <w:szCs w:val="22"/>
              </w:rPr>
              <w:t>12 months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,n(%)</w:t>
            </w:r>
          </w:p>
        </w:tc>
        <w:tc>
          <w:tcPr>
            <w:tcW w:w="2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04A45170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14(93.3%)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2ED4E259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37FC2DB3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6071FCCC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13(68.4%)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0FFC16F9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550A0168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7BE4E066" w14:textId="77777777" w:rsidR="00523B72" w:rsidRDefault="00523B72" w:rsidP="0070111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0.08</w:t>
            </w:r>
          </w:p>
        </w:tc>
      </w:tr>
      <w:tr w:rsidR="00523B72" w14:paraId="0346E7FB" w14:textId="77777777" w:rsidTr="0070111F">
        <w:trPr>
          <w:gridAfter w:val="1"/>
          <w:wAfter w:w="233" w:type="dxa"/>
          <w:trHeight w:val="312"/>
        </w:trPr>
        <w:tc>
          <w:tcPr>
            <w:tcW w:w="9990" w:type="dxa"/>
            <w:gridSpan w:val="12"/>
            <w:vMerge w:val="restart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05C8CC01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 Abbreviation:IQR,interquartile range;RTX,rituximab.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vertAlign w:val="superscript"/>
              </w:rPr>
              <w:t xml:space="preserve"> a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Includes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those who acieved either partial remission or complete remission during the follow-up period.</w:t>
            </w:r>
          </w:p>
        </w:tc>
      </w:tr>
      <w:tr w:rsidR="00523B72" w14:paraId="28AF224B" w14:textId="77777777" w:rsidTr="0070111F">
        <w:trPr>
          <w:trHeight w:val="208"/>
        </w:trPr>
        <w:tc>
          <w:tcPr>
            <w:tcW w:w="9990" w:type="dxa"/>
            <w:gridSpan w:val="12"/>
            <w:vMerge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523E42B4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1C7EA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</w:tbl>
    <w:p w14:paraId="61C35942" w14:textId="77777777" w:rsidR="00523B72" w:rsidRDefault="00523B72" w:rsidP="00523B72">
      <w:pPr>
        <w:spacing w:line="360" w:lineRule="auto"/>
        <w:rPr>
          <w:rFonts w:ascii="Times New Roman" w:hAnsi="Times New Roman" w:cs="Times New Roman"/>
          <w:b/>
          <w:sz w:val="28"/>
        </w:rPr>
      </w:pPr>
    </w:p>
    <w:tbl>
      <w:tblPr>
        <w:tblW w:w="11981" w:type="dxa"/>
        <w:tblInd w:w="-1125" w:type="dxa"/>
        <w:tblLook w:val="04A0" w:firstRow="1" w:lastRow="0" w:firstColumn="1" w:lastColumn="0" w:noHBand="0" w:noVBand="1"/>
      </w:tblPr>
      <w:tblGrid>
        <w:gridCol w:w="447"/>
        <w:gridCol w:w="570"/>
        <w:gridCol w:w="5694"/>
        <w:gridCol w:w="381"/>
        <w:gridCol w:w="1030"/>
        <w:gridCol w:w="965"/>
        <w:gridCol w:w="318"/>
        <w:gridCol w:w="720"/>
        <w:gridCol w:w="958"/>
        <w:gridCol w:w="898"/>
      </w:tblGrid>
      <w:tr w:rsidR="00523B72" w14:paraId="17B0E7FF" w14:textId="77777777" w:rsidTr="00523B72">
        <w:trPr>
          <w:gridAfter w:val="2"/>
          <w:wAfter w:w="1856" w:type="dxa"/>
          <w:trHeight w:val="306"/>
        </w:trPr>
        <w:tc>
          <w:tcPr>
            <w:tcW w:w="10125" w:type="dxa"/>
            <w:gridSpan w:val="8"/>
            <w:tcBorders>
              <w:top w:val="nil"/>
              <w:left w:val="nil"/>
              <w:bottom w:val="single" w:sz="12" w:space="0" w:color="1B5A55"/>
              <w:right w:val="nil"/>
            </w:tcBorders>
            <w:noWrap/>
            <w:vAlign w:val="bottom"/>
          </w:tcPr>
          <w:p w14:paraId="7BCA371A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</w:rPr>
              <w:t>Table 4. Primary Outcomes of the Patients Received Obinutuzumab Therapy</w:t>
            </w:r>
          </w:p>
        </w:tc>
      </w:tr>
      <w:tr w:rsidR="00523B72" w14:paraId="6E9CFF4B" w14:textId="77777777" w:rsidTr="00523B72">
        <w:trPr>
          <w:gridAfter w:val="2"/>
          <w:wAfter w:w="1856" w:type="dxa"/>
          <w:trHeight w:val="277"/>
        </w:trPr>
        <w:tc>
          <w:tcPr>
            <w:tcW w:w="709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0DC4D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Primary outcomes</w:t>
            </w:r>
          </w:p>
        </w:tc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D07ECB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Overall Cohort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(N=34)</w:t>
            </w:r>
          </w:p>
        </w:tc>
      </w:tr>
      <w:tr w:rsidR="00523B72" w14:paraId="28100405" w14:textId="77777777" w:rsidTr="00523B72">
        <w:trPr>
          <w:gridAfter w:val="2"/>
          <w:wAfter w:w="1856" w:type="dxa"/>
          <w:trHeight w:val="277"/>
        </w:trPr>
        <w:tc>
          <w:tcPr>
            <w:tcW w:w="709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FAE060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Total follow-up period,mo,median(IQR)</w:t>
            </w:r>
          </w:p>
        </w:tc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7E8DBB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13.43(11.57-14.51)</w:t>
            </w:r>
          </w:p>
        </w:tc>
      </w:tr>
      <w:tr w:rsidR="00523B72" w14:paraId="53779F4D" w14:textId="77777777" w:rsidTr="00523B72">
        <w:trPr>
          <w:gridAfter w:val="2"/>
          <w:wAfter w:w="1856" w:type="dxa"/>
          <w:trHeight w:val="277"/>
        </w:trPr>
        <w:tc>
          <w:tcPr>
            <w:tcW w:w="70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</w:tcPr>
          <w:p w14:paraId="0976F96E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Total obinutuzumab dose during follow-up,g,median(IQR)</w:t>
            </w:r>
          </w:p>
        </w:tc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344B9A9F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2(1.76-2.24)</w:t>
            </w:r>
          </w:p>
        </w:tc>
      </w:tr>
      <w:tr w:rsidR="00523B72" w14:paraId="22F068CD" w14:textId="77777777" w:rsidTr="00523B72">
        <w:trPr>
          <w:gridAfter w:val="2"/>
          <w:wAfter w:w="1856" w:type="dxa"/>
          <w:trHeight w:val="277"/>
        </w:trPr>
        <w:tc>
          <w:tcPr>
            <w:tcW w:w="709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272923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Time to first remission,mo,median(IQR)</w:t>
            </w:r>
          </w:p>
        </w:tc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61E73B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6.63(5.28-8.73)</w:t>
            </w:r>
          </w:p>
        </w:tc>
      </w:tr>
      <w:tr w:rsidR="00523B72" w14:paraId="3ADDBDD1" w14:textId="77777777" w:rsidTr="00523B72">
        <w:trPr>
          <w:gridAfter w:val="2"/>
          <w:wAfter w:w="1856" w:type="dxa"/>
          <w:trHeight w:val="277"/>
        </w:trPr>
        <w:tc>
          <w:tcPr>
            <w:tcW w:w="70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</w:tcPr>
          <w:p w14:paraId="7BF133F2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First relapse-free survival time during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br/>
              <w:t>follow-up,mo, mean±SD</w:t>
            </w:r>
          </w:p>
        </w:tc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6F62C2F2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5.88±4.53</w:t>
            </w:r>
          </w:p>
        </w:tc>
      </w:tr>
      <w:tr w:rsidR="00523B72" w14:paraId="34D88B44" w14:textId="77777777" w:rsidTr="00523B72">
        <w:trPr>
          <w:gridAfter w:val="2"/>
          <w:wAfter w:w="1856" w:type="dxa"/>
          <w:trHeight w:val="316"/>
        </w:trPr>
        <w:tc>
          <w:tcPr>
            <w:tcW w:w="709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C7D729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Remission rate during follow-up,n(%)</w:t>
            </w:r>
            <w:r>
              <w:rPr>
                <w:rFonts w:ascii="Times New Roman" w:eastAsia="SimSun" w:hAnsi="Times New Roman" w:cs="Times New Roman"/>
                <w:color w:val="4874CB"/>
                <w:kern w:val="0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9630BC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32(94.1%)</w:t>
            </w:r>
          </w:p>
        </w:tc>
      </w:tr>
      <w:tr w:rsidR="00523B72" w14:paraId="0DE2A55C" w14:textId="77777777" w:rsidTr="00523B72">
        <w:trPr>
          <w:gridAfter w:val="2"/>
          <w:wAfter w:w="1856" w:type="dxa"/>
          <w:trHeight w:val="277"/>
        </w:trPr>
        <w:tc>
          <w:tcPr>
            <w:tcW w:w="70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</w:tcPr>
          <w:p w14:paraId="726389FD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Partial remission rate during follow-up,n(%)</w:t>
            </w:r>
          </w:p>
        </w:tc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6FB1AA64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21(61.8%)</w:t>
            </w:r>
          </w:p>
        </w:tc>
      </w:tr>
      <w:tr w:rsidR="00523B72" w14:paraId="44AA5A04" w14:textId="77777777" w:rsidTr="00523B72">
        <w:trPr>
          <w:gridAfter w:val="2"/>
          <w:wAfter w:w="1856" w:type="dxa"/>
          <w:trHeight w:val="277"/>
        </w:trPr>
        <w:tc>
          <w:tcPr>
            <w:tcW w:w="709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AEE649B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Complete remission rate during follow-up,n(%)</w:t>
            </w:r>
          </w:p>
        </w:tc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967244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11(32.4%)</w:t>
            </w:r>
          </w:p>
        </w:tc>
      </w:tr>
      <w:tr w:rsidR="00523B72" w14:paraId="5B983289" w14:textId="77777777" w:rsidTr="00523B72">
        <w:trPr>
          <w:gridAfter w:val="2"/>
          <w:wAfter w:w="1856" w:type="dxa"/>
          <w:trHeight w:val="277"/>
        </w:trPr>
        <w:tc>
          <w:tcPr>
            <w:tcW w:w="70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564C37F3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Remission rate at 6 months,n(%)</w:t>
            </w:r>
          </w:p>
        </w:tc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450B3FB7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16(47.1%)</w:t>
            </w:r>
          </w:p>
        </w:tc>
      </w:tr>
      <w:tr w:rsidR="00523B72" w14:paraId="7CAEA323" w14:textId="77777777" w:rsidTr="00523B72">
        <w:trPr>
          <w:gridAfter w:val="2"/>
          <w:wAfter w:w="1856" w:type="dxa"/>
          <w:trHeight w:val="287"/>
        </w:trPr>
        <w:tc>
          <w:tcPr>
            <w:tcW w:w="7092" w:type="dxa"/>
            <w:gridSpan w:val="4"/>
            <w:tcBorders>
              <w:top w:val="nil"/>
              <w:left w:val="nil"/>
              <w:bottom w:val="single" w:sz="12" w:space="0" w:color="FF0000"/>
              <w:right w:val="nil"/>
            </w:tcBorders>
            <w:noWrap/>
            <w:vAlign w:val="center"/>
          </w:tcPr>
          <w:p w14:paraId="78D7908D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Remission rate at 12 months,n(%)</w:t>
            </w:r>
          </w:p>
        </w:tc>
        <w:tc>
          <w:tcPr>
            <w:tcW w:w="3033" w:type="dxa"/>
            <w:gridSpan w:val="4"/>
            <w:tcBorders>
              <w:top w:val="nil"/>
              <w:left w:val="nil"/>
              <w:bottom w:val="single" w:sz="12" w:space="0" w:color="FF0000"/>
              <w:right w:val="nil"/>
            </w:tcBorders>
            <w:noWrap/>
            <w:vAlign w:val="center"/>
          </w:tcPr>
          <w:p w14:paraId="00D168D0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27(79.4%)</w:t>
            </w:r>
          </w:p>
        </w:tc>
      </w:tr>
      <w:tr w:rsidR="00523B72" w14:paraId="18709EF4" w14:textId="77777777" w:rsidTr="00523B72">
        <w:trPr>
          <w:gridAfter w:val="2"/>
          <w:wAfter w:w="1856" w:type="dxa"/>
          <w:trHeight w:val="960"/>
        </w:trPr>
        <w:tc>
          <w:tcPr>
            <w:tcW w:w="10125" w:type="dxa"/>
            <w:gridSpan w:val="8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52B58308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Abbreviation:IQR,interquartile range;SD,standard deviation.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Includes those who acieved either partial remission or complete remission during the follow-up period.</w:t>
            </w:r>
          </w:p>
        </w:tc>
      </w:tr>
      <w:tr w:rsidR="00523B72" w14:paraId="36F68D50" w14:textId="77777777" w:rsidTr="00523B72">
        <w:trPr>
          <w:gridAfter w:val="2"/>
          <w:wAfter w:w="1856" w:type="dxa"/>
          <w:trHeight w:val="960"/>
        </w:trPr>
        <w:tc>
          <w:tcPr>
            <w:tcW w:w="10125" w:type="dxa"/>
            <w:gridSpan w:val="8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3277BF66" w14:textId="77777777" w:rsidR="00523B72" w:rsidRP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523B72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  <w:t>Table 5. Changes in Peripheral Lymphocyte Subsets Before and After Obinutuzumab Treatment</w:t>
            </w:r>
          </w:p>
        </w:tc>
      </w:tr>
      <w:tr w:rsidR="00523B72" w14:paraId="701C0CBF" w14:textId="77777777" w:rsidTr="00523B72">
        <w:tblPrEx>
          <w:jc w:val="center"/>
          <w:tblInd w:w="0" w:type="dxa"/>
        </w:tblPrEx>
        <w:trPr>
          <w:gridBefore w:val="2"/>
          <w:wBefore w:w="1017" w:type="dxa"/>
          <w:trHeight w:val="300"/>
          <w:jc w:val="center"/>
        </w:trPr>
        <w:tc>
          <w:tcPr>
            <w:tcW w:w="56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80710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Lymphocyte Subsets</w:t>
            </w:r>
          </w:p>
        </w:tc>
        <w:tc>
          <w:tcPr>
            <w:tcW w:w="237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3B1DB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At Baseline</w:t>
            </w:r>
          </w:p>
        </w:tc>
        <w:tc>
          <w:tcPr>
            <w:tcW w:w="199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DAC525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At First BCD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CA0B30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</w:rPr>
              <w:t>P</w:t>
            </w:r>
          </w:p>
        </w:tc>
      </w:tr>
      <w:tr w:rsidR="00523B72" w14:paraId="08E0F6BF" w14:textId="77777777" w:rsidTr="00523B72">
        <w:tblPrEx>
          <w:jc w:val="center"/>
          <w:tblInd w:w="0" w:type="dxa"/>
        </w:tblPrEx>
        <w:trPr>
          <w:gridBefore w:val="2"/>
          <w:wBefore w:w="1017" w:type="dxa"/>
          <w:trHeight w:val="340"/>
          <w:jc w:val="center"/>
        </w:trPr>
        <w:tc>
          <w:tcPr>
            <w:tcW w:w="5694" w:type="dxa"/>
            <w:tcBorders>
              <w:top w:val="single" w:sz="12" w:space="0" w:color="1B5A55"/>
              <w:left w:val="nil"/>
              <w:bottom w:val="single" w:sz="12" w:space="0" w:color="D0CECE"/>
              <w:right w:val="nil"/>
            </w:tcBorders>
            <w:noWrap/>
            <w:vAlign w:val="center"/>
          </w:tcPr>
          <w:p w14:paraId="7F21F332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Total CD45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vertAlign w:val="superscript"/>
              </w:rPr>
              <w:t>+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 lymphocyte count, 1 cell/μL,mean±SD</w:t>
            </w:r>
          </w:p>
        </w:tc>
        <w:tc>
          <w:tcPr>
            <w:tcW w:w="2376" w:type="dxa"/>
            <w:gridSpan w:val="3"/>
            <w:tcBorders>
              <w:top w:val="single" w:sz="12" w:space="0" w:color="1B5A55"/>
              <w:left w:val="nil"/>
              <w:bottom w:val="nil"/>
              <w:right w:val="nil"/>
            </w:tcBorders>
            <w:noWrap/>
            <w:vAlign w:val="center"/>
          </w:tcPr>
          <w:p w14:paraId="547BB016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2390.89±845.50</w:t>
            </w:r>
          </w:p>
        </w:tc>
        <w:tc>
          <w:tcPr>
            <w:tcW w:w="1996" w:type="dxa"/>
            <w:gridSpan w:val="3"/>
            <w:tcBorders>
              <w:top w:val="single" w:sz="12" w:space="0" w:color="1B5A55"/>
              <w:left w:val="nil"/>
              <w:bottom w:val="nil"/>
              <w:right w:val="nil"/>
            </w:tcBorders>
            <w:noWrap/>
            <w:vAlign w:val="center"/>
          </w:tcPr>
          <w:p w14:paraId="281F1DA0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1385.61±575.12</w:t>
            </w:r>
          </w:p>
        </w:tc>
        <w:tc>
          <w:tcPr>
            <w:tcW w:w="898" w:type="dxa"/>
            <w:tcBorders>
              <w:top w:val="single" w:sz="12" w:space="0" w:color="1B5A55"/>
              <w:left w:val="nil"/>
              <w:bottom w:val="single" w:sz="12" w:space="0" w:color="D0CECE"/>
              <w:right w:val="nil"/>
            </w:tcBorders>
            <w:noWrap/>
            <w:vAlign w:val="center"/>
          </w:tcPr>
          <w:p w14:paraId="4CC0509A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&lt;0.001</w:t>
            </w:r>
            <w:r>
              <w:rPr>
                <w:rFonts w:ascii="Times New Roman" w:eastAsia="SimSun" w:hAnsi="Times New Roman" w:cs="Times New Roman"/>
                <w:color w:val="4874CB"/>
                <w:kern w:val="0"/>
                <w:sz w:val="22"/>
                <w:szCs w:val="22"/>
                <w:vertAlign w:val="superscript"/>
              </w:rPr>
              <w:t>a</w:t>
            </w:r>
          </w:p>
        </w:tc>
      </w:tr>
      <w:tr w:rsidR="00523B72" w14:paraId="4217F2E2" w14:textId="77777777" w:rsidTr="00523B72">
        <w:tblPrEx>
          <w:jc w:val="center"/>
          <w:tblInd w:w="0" w:type="dxa"/>
        </w:tblPrEx>
        <w:trPr>
          <w:gridBefore w:val="2"/>
          <w:wBefore w:w="1017" w:type="dxa"/>
          <w:trHeight w:val="300"/>
          <w:jc w:val="center"/>
        </w:trPr>
        <w:tc>
          <w:tcPr>
            <w:tcW w:w="5694" w:type="dxa"/>
            <w:tcBorders>
              <w:top w:val="nil"/>
              <w:left w:val="nil"/>
              <w:bottom w:val="single" w:sz="12" w:space="0" w:color="D0CECE"/>
              <w:right w:val="nil"/>
            </w:tcBorders>
            <w:shd w:val="clear" w:color="000000" w:fill="E6F9F7"/>
            <w:noWrap/>
            <w:vAlign w:val="center"/>
          </w:tcPr>
          <w:p w14:paraId="3966A5D9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Total T-cell count, 1 cell/μL,mean±SD</w:t>
            </w:r>
          </w:p>
        </w:tc>
        <w:tc>
          <w:tcPr>
            <w:tcW w:w="2376" w:type="dxa"/>
            <w:gridSpan w:val="3"/>
            <w:tcBorders>
              <w:top w:val="single" w:sz="12" w:space="0" w:color="D0CECE"/>
              <w:left w:val="nil"/>
              <w:bottom w:val="single" w:sz="12" w:space="0" w:color="D0CECE"/>
              <w:right w:val="nil"/>
            </w:tcBorders>
            <w:shd w:val="clear" w:color="000000" w:fill="E6F9F7"/>
            <w:noWrap/>
            <w:vAlign w:val="center"/>
          </w:tcPr>
          <w:p w14:paraId="31F552F8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1325.75±595.60</w:t>
            </w:r>
          </w:p>
        </w:tc>
        <w:tc>
          <w:tcPr>
            <w:tcW w:w="1996" w:type="dxa"/>
            <w:gridSpan w:val="3"/>
            <w:tcBorders>
              <w:top w:val="single" w:sz="12" w:space="0" w:color="D0CECE"/>
              <w:left w:val="nil"/>
              <w:bottom w:val="single" w:sz="12" w:space="0" w:color="D0CECE"/>
              <w:right w:val="nil"/>
            </w:tcBorders>
            <w:shd w:val="clear" w:color="000000" w:fill="E6F9F7"/>
            <w:noWrap/>
            <w:vAlign w:val="center"/>
          </w:tcPr>
          <w:p w14:paraId="2B7CC578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1168.57±588.54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D0CECE"/>
              <w:right w:val="nil"/>
            </w:tcBorders>
            <w:shd w:val="clear" w:color="000000" w:fill="E6F9F7"/>
            <w:noWrap/>
            <w:vAlign w:val="center"/>
          </w:tcPr>
          <w:p w14:paraId="6CB04A1C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0.37</w:t>
            </w:r>
          </w:p>
        </w:tc>
      </w:tr>
      <w:tr w:rsidR="00523B72" w14:paraId="0B4E7EB4" w14:textId="77777777" w:rsidTr="00523B72">
        <w:tblPrEx>
          <w:jc w:val="center"/>
          <w:tblInd w:w="0" w:type="dxa"/>
        </w:tblPrEx>
        <w:trPr>
          <w:gridBefore w:val="2"/>
          <w:wBefore w:w="1017" w:type="dxa"/>
          <w:trHeight w:val="340"/>
          <w:jc w:val="center"/>
        </w:trPr>
        <w:tc>
          <w:tcPr>
            <w:tcW w:w="5694" w:type="dxa"/>
            <w:tcBorders>
              <w:top w:val="nil"/>
              <w:left w:val="nil"/>
              <w:bottom w:val="single" w:sz="12" w:space="0" w:color="D0CECE"/>
              <w:right w:val="nil"/>
            </w:tcBorders>
            <w:noWrap/>
            <w:vAlign w:val="center"/>
          </w:tcPr>
          <w:p w14:paraId="2BCD925B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CD4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vertAlign w:val="superscript"/>
              </w:rPr>
              <w:t>+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 T-cell count, 1 cell/μL,median(IQR)</w:t>
            </w:r>
          </w:p>
        </w:tc>
        <w:tc>
          <w:tcPr>
            <w:tcW w:w="2376" w:type="dxa"/>
            <w:gridSpan w:val="3"/>
            <w:tcBorders>
              <w:top w:val="nil"/>
              <w:left w:val="nil"/>
              <w:bottom w:val="single" w:sz="12" w:space="0" w:color="D0CECE"/>
              <w:right w:val="nil"/>
            </w:tcBorders>
            <w:noWrap/>
            <w:vAlign w:val="center"/>
          </w:tcPr>
          <w:p w14:paraId="08748720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779(625.72-929.11)</w:t>
            </w:r>
          </w:p>
        </w:tc>
        <w:tc>
          <w:tcPr>
            <w:tcW w:w="1996" w:type="dxa"/>
            <w:gridSpan w:val="3"/>
            <w:tcBorders>
              <w:top w:val="nil"/>
              <w:left w:val="nil"/>
              <w:bottom w:val="single" w:sz="12" w:space="0" w:color="D0CECE"/>
              <w:right w:val="nil"/>
            </w:tcBorders>
            <w:noWrap/>
            <w:vAlign w:val="center"/>
          </w:tcPr>
          <w:p w14:paraId="797096D6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638(507.12-813.75)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D0CECE"/>
              <w:right w:val="nil"/>
            </w:tcBorders>
            <w:noWrap/>
            <w:vAlign w:val="center"/>
          </w:tcPr>
          <w:p w14:paraId="6F578321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0.17</w:t>
            </w:r>
          </w:p>
        </w:tc>
      </w:tr>
      <w:tr w:rsidR="00523B72" w14:paraId="20D333D6" w14:textId="77777777" w:rsidTr="00523B72">
        <w:tblPrEx>
          <w:jc w:val="center"/>
          <w:tblInd w:w="0" w:type="dxa"/>
        </w:tblPrEx>
        <w:trPr>
          <w:gridBefore w:val="2"/>
          <w:wBefore w:w="1017" w:type="dxa"/>
          <w:trHeight w:val="300"/>
          <w:jc w:val="center"/>
        </w:trPr>
        <w:tc>
          <w:tcPr>
            <w:tcW w:w="5694" w:type="dxa"/>
            <w:tcBorders>
              <w:top w:val="nil"/>
              <w:left w:val="nil"/>
              <w:bottom w:val="single" w:sz="12" w:space="0" w:color="D0CECE"/>
              <w:right w:val="nil"/>
            </w:tcBorders>
            <w:shd w:val="clear" w:color="000000" w:fill="E6F9F7"/>
            <w:noWrap/>
            <w:vAlign w:val="center"/>
          </w:tcPr>
          <w:p w14:paraId="5D5F80A7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CD8+ T-cell count, 1 cell/μL,median(IQR)</w:t>
            </w:r>
          </w:p>
        </w:tc>
        <w:tc>
          <w:tcPr>
            <w:tcW w:w="2376" w:type="dxa"/>
            <w:gridSpan w:val="3"/>
            <w:tcBorders>
              <w:top w:val="nil"/>
              <w:left w:val="nil"/>
              <w:bottom w:val="single" w:sz="12" w:space="0" w:color="D0CECE"/>
              <w:right w:val="nil"/>
            </w:tcBorders>
            <w:shd w:val="clear" w:color="000000" w:fill="E6F9F7"/>
            <w:vAlign w:val="center"/>
          </w:tcPr>
          <w:p w14:paraId="33D76886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445(359.17-602.58)</w:t>
            </w:r>
          </w:p>
        </w:tc>
        <w:tc>
          <w:tcPr>
            <w:tcW w:w="1996" w:type="dxa"/>
            <w:gridSpan w:val="3"/>
            <w:tcBorders>
              <w:top w:val="nil"/>
              <w:left w:val="nil"/>
              <w:bottom w:val="single" w:sz="12" w:space="0" w:color="D0CECE"/>
              <w:right w:val="nil"/>
            </w:tcBorders>
            <w:shd w:val="clear" w:color="000000" w:fill="E6F9F7"/>
            <w:noWrap/>
            <w:vAlign w:val="center"/>
          </w:tcPr>
          <w:p w14:paraId="69D1BF0F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454(337.46-583.32)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D0CECE"/>
              <w:right w:val="nil"/>
            </w:tcBorders>
            <w:shd w:val="clear" w:color="000000" w:fill="E6F9F7"/>
            <w:noWrap/>
            <w:vAlign w:val="center"/>
          </w:tcPr>
          <w:p w14:paraId="2E9B8F3F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0.86</w:t>
            </w:r>
          </w:p>
        </w:tc>
      </w:tr>
      <w:tr w:rsidR="00523B72" w14:paraId="3BF2328D" w14:textId="77777777" w:rsidTr="00523B72">
        <w:tblPrEx>
          <w:jc w:val="center"/>
          <w:tblInd w:w="0" w:type="dxa"/>
        </w:tblPrEx>
        <w:trPr>
          <w:gridBefore w:val="2"/>
          <w:wBefore w:w="1017" w:type="dxa"/>
          <w:trHeight w:val="300"/>
          <w:jc w:val="center"/>
        </w:trPr>
        <w:tc>
          <w:tcPr>
            <w:tcW w:w="5694" w:type="dxa"/>
            <w:tcBorders>
              <w:top w:val="nil"/>
              <w:left w:val="nil"/>
              <w:bottom w:val="single" w:sz="12" w:space="0" w:color="D0CECE"/>
              <w:right w:val="nil"/>
            </w:tcBorders>
            <w:noWrap/>
            <w:vAlign w:val="center"/>
          </w:tcPr>
          <w:p w14:paraId="61786B50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CD4+ T-cell count/CD8+ T-cell count ratio,median(IQR)</w:t>
            </w:r>
          </w:p>
        </w:tc>
        <w:tc>
          <w:tcPr>
            <w:tcW w:w="2376" w:type="dxa"/>
            <w:gridSpan w:val="3"/>
            <w:tcBorders>
              <w:top w:val="nil"/>
              <w:left w:val="nil"/>
              <w:bottom w:val="single" w:sz="12" w:space="0" w:color="D0CECE"/>
              <w:right w:val="nil"/>
            </w:tcBorders>
            <w:noWrap/>
            <w:vAlign w:val="center"/>
          </w:tcPr>
          <w:p w14:paraId="63B9BC58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1.8(1.54-3.62)</w:t>
            </w:r>
          </w:p>
        </w:tc>
        <w:tc>
          <w:tcPr>
            <w:tcW w:w="1996" w:type="dxa"/>
            <w:gridSpan w:val="3"/>
            <w:tcBorders>
              <w:top w:val="nil"/>
              <w:left w:val="nil"/>
              <w:bottom w:val="single" w:sz="12" w:space="0" w:color="D0CECE"/>
              <w:right w:val="nil"/>
            </w:tcBorders>
            <w:noWrap/>
            <w:vAlign w:val="center"/>
          </w:tcPr>
          <w:p w14:paraId="677B6577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1.36(1.19-2.86)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D0CECE"/>
              <w:right w:val="nil"/>
            </w:tcBorders>
            <w:noWrap/>
            <w:vAlign w:val="center"/>
          </w:tcPr>
          <w:p w14:paraId="03F07CD9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0.32</w:t>
            </w:r>
          </w:p>
        </w:tc>
      </w:tr>
      <w:tr w:rsidR="00523B72" w14:paraId="3CD54551" w14:textId="77777777" w:rsidTr="00523B72">
        <w:tblPrEx>
          <w:jc w:val="center"/>
          <w:tblInd w:w="0" w:type="dxa"/>
        </w:tblPrEx>
        <w:trPr>
          <w:gridBefore w:val="2"/>
          <w:wBefore w:w="1017" w:type="dxa"/>
          <w:trHeight w:val="340"/>
          <w:jc w:val="center"/>
        </w:trPr>
        <w:tc>
          <w:tcPr>
            <w:tcW w:w="5694" w:type="dxa"/>
            <w:tcBorders>
              <w:top w:val="nil"/>
              <w:left w:val="nil"/>
              <w:bottom w:val="single" w:sz="12" w:space="0" w:color="D0CECE"/>
              <w:right w:val="nil"/>
            </w:tcBorders>
            <w:shd w:val="clear" w:color="000000" w:fill="E6F9F7"/>
            <w:noWrap/>
            <w:vAlign w:val="center"/>
          </w:tcPr>
          <w:p w14:paraId="558A1B05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CD56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vertAlign w:val="superscript"/>
              </w:rPr>
              <w:t>+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CD16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vertAlign w:val="superscript"/>
              </w:rPr>
              <w:t>+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NK-cell count, 1 cell/μL,median(IQR)</w:t>
            </w:r>
          </w:p>
        </w:tc>
        <w:tc>
          <w:tcPr>
            <w:tcW w:w="2376" w:type="dxa"/>
            <w:gridSpan w:val="3"/>
            <w:tcBorders>
              <w:top w:val="nil"/>
              <w:left w:val="nil"/>
              <w:bottom w:val="single" w:sz="12" w:space="0" w:color="D0CECE"/>
              <w:right w:val="nil"/>
            </w:tcBorders>
            <w:shd w:val="clear" w:color="000000" w:fill="E6F9F7"/>
            <w:noWrap/>
            <w:vAlign w:val="center"/>
          </w:tcPr>
          <w:p w14:paraId="2E3B79D1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204(183.62 - 405.30)</w:t>
            </w:r>
          </w:p>
        </w:tc>
        <w:tc>
          <w:tcPr>
            <w:tcW w:w="1996" w:type="dxa"/>
            <w:gridSpan w:val="3"/>
            <w:tcBorders>
              <w:top w:val="nil"/>
              <w:left w:val="nil"/>
              <w:bottom w:val="single" w:sz="12" w:space="0" w:color="D0CECE"/>
              <w:right w:val="nil"/>
            </w:tcBorders>
            <w:shd w:val="clear" w:color="000000" w:fill="E6F9F7"/>
            <w:noWrap/>
            <w:vAlign w:val="center"/>
          </w:tcPr>
          <w:p w14:paraId="3ABD0917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199(154.38-324.49)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D0CECE"/>
              <w:right w:val="nil"/>
            </w:tcBorders>
            <w:shd w:val="clear" w:color="000000" w:fill="E6F9F7"/>
            <w:noWrap/>
            <w:vAlign w:val="center"/>
          </w:tcPr>
          <w:p w14:paraId="011279BF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0.77</w:t>
            </w:r>
          </w:p>
        </w:tc>
      </w:tr>
      <w:tr w:rsidR="00523B72" w14:paraId="1FD2D4CF" w14:textId="77777777" w:rsidTr="00523B72">
        <w:tblPrEx>
          <w:jc w:val="center"/>
          <w:tblInd w:w="0" w:type="dxa"/>
        </w:tblPrEx>
        <w:trPr>
          <w:gridBefore w:val="2"/>
          <w:wBefore w:w="1017" w:type="dxa"/>
          <w:trHeight w:val="340"/>
          <w:jc w:val="center"/>
        </w:trPr>
        <w:tc>
          <w:tcPr>
            <w:tcW w:w="5694" w:type="dxa"/>
            <w:tcBorders>
              <w:top w:val="nil"/>
              <w:left w:val="nil"/>
              <w:bottom w:val="single" w:sz="12" w:space="0" w:color="FF0000"/>
              <w:right w:val="nil"/>
            </w:tcBorders>
            <w:noWrap/>
            <w:vAlign w:val="center"/>
          </w:tcPr>
          <w:p w14:paraId="5CD0FF5B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CD19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vertAlign w:val="superscript"/>
              </w:rPr>
              <w:t>+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B-cell count, 1 cell/μL,median(IQR)</w:t>
            </w:r>
          </w:p>
        </w:tc>
        <w:tc>
          <w:tcPr>
            <w:tcW w:w="2376" w:type="dxa"/>
            <w:gridSpan w:val="3"/>
            <w:tcBorders>
              <w:top w:val="nil"/>
              <w:left w:val="nil"/>
              <w:bottom w:val="single" w:sz="12" w:space="0" w:color="FF0000"/>
              <w:right w:val="nil"/>
            </w:tcBorders>
            <w:noWrap/>
            <w:vAlign w:val="center"/>
          </w:tcPr>
          <w:p w14:paraId="58E11D93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108(71.42 - 177.58)</w:t>
            </w:r>
          </w:p>
        </w:tc>
        <w:tc>
          <w:tcPr>
            <w:tcW w:w="1996" w:type="dxa"/>
            <w:gridSpan w:val="3"/>
            <w:tcBorders>
              <w:top w:val="nil"/>
              <w:left w:val="nil"/>
              <w:bottom w:val="single" w:sz="12" w:space="0" w:color="FF0000"/>
              <w:right w:val="nil"/>
            </w:tcBorders>
            <w:noWrap/>
            <w:vAlign w:val="center"/>
          </w:tcPr>
          <w:p w14:paraId="4F38703C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0.0(-0.04-0.39)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2" w:space="0" w:color="FF0000"/>
              <w:right w:val="nil"/>
            </w:tcBorders>
            <w:noWrap/>
            <w:vAlign w:val="center"/>
          </w:tcPr>
          <w:p w14:paraId="433693D9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&lt;0.001</w:t>
            </w:r>
            <w:r>
              <w:rPr>
                <w:rFonts w:ascii="Times New Roman" w:eastAsia="SimSun" w:hAnsi="Times New Roman" w:cs="Times New Roman"/>
                <w:color w:val="4874CB"/>
                <w:kern w:val="0"/>
                <w:sz w:val="22"/>
                <w:szCs w:val="22"/>
                <w:vertAlign w:val="superscript"/>
              </w:rPr>
              <w:t>a</w:t>
            </w:r>
          </w:p>
        </w:tc>
      </w:tr>
      <w:tr w:rsidR="00523B72" w14:paraId="49254AD6" w14:textId="77777777" w:rsidTr="00523B72">
        <w:tblPrEx>
          <w:jc w:val="center"/>
          <w:tblInd w:w="0" w:type="dxa"/>
        </w:tblPrEx>
        <w:trPr>
          <w:gridBefore w:val="2"/>
          <w:wBefore w:w="1017" w:type="dxa"/>
          <w:trHeight w:val="690"/>
          <w:jc w:val="center"/>
        </w:trPr>
        <w:tc>
          <w:tcPr>
            <w:tcW w:w="10964" w:type="dxa"/>
            <w:gridSpan w:val="8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763ACF08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Abbreviation:IQR,interquartile range;SD,standard deviation;BCD,B-cell depletion;NK,natural killer.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  <w:vertAlign w:val="superscript"/>
              </w:rPr>
              <w:t>a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Significant 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  <w:szCs w:val="22"/>
              </w:rPr>
              <w:t>P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 values.</w:t>
            </w:r>
          </w:p>
        </w:tc>
      </w:tr>
      <w:tr w:rsidR="00523B72" w14:paraId="6AE2E395" w14:textId="77777777" w:rsidTr="00523B72">
        <w:tblPrEx>
          <w:jc w:val="center"/>
          <w:tblInd w:w="0" w:type="dxa"/>
        </w:tblPrEx>
        <w:trPr>
          <w:gridBefore w:val="2"/>
          <w:wBefore w:w="1017" w:type="dxa"/>
          <w:trHeight w:val="690"/>
          <w:jc w:val="center"/>
        </w:trPr>
        <w:tc>
          <w:tcPr>
            <w:tcW w:w="10964" w:type="dxa"/>
            <w:gridSpan w:val="8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29E8E778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</w:p>
          <w:p w14:paraId="38C23D40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</w:p>
          <w:p w14:paraId="617544F2" w14:textId="6704A887" w:rsidR="00523B72" w:rsidRP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 w:rsidRPr="00523B72"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Table 6.Treatment-related adverse events(TRAEs) during obinutuzumab treatment in 34 patients with primary membranous nephropathy(PMN)</w:t>
            </w:r>
          </w:p>
        </w:tc>
      </w:tr>
      <w:tr w:rsidR="00523B72" w14:paraId="1F7FACA1" w14:textId="77777777" w:rsidTr="00523B72">
        <w:trPr>
          <w:gridBefore w:val="1"/>
          <w:gridAfter w:val="3"/>
          <w:wBefore w:w="447" w:type="dxa"/>
          <w:wAfter w:w="2576" w:type="dxa"/>
          <w:trHeight w:val="291"/>
        </w:trPr>
        <w:tc>
          <w:tcPr>
            <w:tcW w:w="767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41CC02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TRAEs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3C2C64" w14:textId="77777777" w:rsidR="00523B72" w:rsidRDefault="00523B72" w:rsidP="0070111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Total</w:t>
            </w:r>
          </w:p>
        </w:tc>
      </w:tr>
      <w:tr w:rsidR="00523B72" w14:paraId="1B1DE007" w14:textId="77777777" w:rsidTr="00523B72">
        <w:trPr>
          <w:gridBefore w:val="1"/>
          <w:gridAfter w:val="3"/>
          <w:wBefore w:w="447" w:type="dxa"/>
          <w:wAfter w:w="2576" w:type="dxa"/>
          <w:trHeight w:val="281"/>
        </w:trPr>
        <w:tc>
          <w:tcPr>
            <w:tcW w:w="7675" w:type="dxa"/>
            <w:gridSpan w:val="4"/>
            <w:tcBorders>
              <w:top w:val="single" w:sz="12" w:space="0" w:color="1B5A55"/>
              <w:left w:val="nil"/>
              <w:bottom w:val="nil"/>
              <w:right w:val="nil"/>
            </w:tcBorders>
            <w:noWrap/>
            <w:vAlign w:val="center"/>
          </w:tcPr>
          <w:p w14:paraId="000E6E17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Any TRAEs</w:t>
            </w:r>
          </w:p>
        </w:tc>
        <w:tc>
          <w:tcPr>
            <w:tcW w:w="1283" w:type="dxa"/>
            <w:gridSpan w:val="2"/>
            <w:tcBorders>
              <w:top w:val="single" w:sz="12" w:space="0" w:color="1B5A55"/>
              <w:left w:val="nil"/>
              <w:bottom w:val="nil"/>
              <w:right w:val="nil"/>
            </w:tcBorders>
            <w:noWrap/>
            <w:vAlign w:val="center"/>
          </w:tcPr>
          <w:p w14:paraId="44A222CD" w14:textId="77777777" w:rsidR="00523B72" w:rsidRDefault="00523B72" w:rsidP="0070111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</w:tr>
      <w:tr w:rsidR="00523B72" w14:paraId="0D7D4003" w14:textId="77777777" w:rsidTr="00523B72">
        <w:trPr>
          <w:gridBefore w:val="1"/>
          <w:gridAfter w:val="3"/>
          <w:wBefore w:w="447" w:type="dxa"/>
          <w:wAfter w:w="2576" w:type="dxa"/>
          <w:trHeight w:val="272"/>
        </w:trPr>
        <w:tc>
          <w:tcPr>
            <w:tcW w:w="7675" w:type="dxa"/>
            <w:gridSpan w:val="4"/>
            <w:tcBorders>
              <w:top w:val="single" w:sz="4" w:space="0" w:color="0070C0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64282D94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Grade ≥ 3 TRAEs</w:t>
            </w:r>
          </w:p>
        </w:tc>
        <w:tc>
          <w:tcPr>
            <w:tcW w:w="1283" w:type="dxa"/>
            <w:gridSpan w:val="2"/>
            <w:tcBorders>
              <w:top w:val="single" w:sz="4" w:space="0" w:color="0070C0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74697A14" w14:textId="77777777" w:rsidR="00523B72" w:rsidRDefault="00523B72" w:rsidP="0070111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523B72" w14:paraId="2345677C" w14:textId="77777777" w:rsidTr="00523B72">
        <w:trPr>
          <w:gridBefore w:val="1"/>
          <w:gridAfter w:val="3"/>
          <w:wBefore w:w="447" w:type="dxa"/>
          <w:wAfter w:w="2576" w:type="dxa"/>
          <w:trHeight w:val="272"/>
        </w:trPr>
        <w:tc>
          <w:tcPr>
            <w:tcW w:w="7675" w:type="dxa"/>
            <w:gridSpan w:val="4"/>
            <w:tcBorders>
              <w:top w:val="single" w:sz="4" w:space="0" w:color="0070C0"/>
              <w:left w:val="nil"/>
              <w:bottom w:val="nil"/>
              <w:right w:val="nil"/>
            </w:tcBorders>
            <w:noWrap/>
            <w:vAlign w:val="center"/>
          </w:tcPr>
          <w:p w14:paraId="190D788D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Grade 1-2 TRAEs</w:t>
            </w:r>
          </w:p>
        </w:tc>
        <w:tc>
          <w:tcPr>
            <w:tcW w:w="1283" w:type="dxa"/>
            <w:gridSpan w:val="2"/>
            <w:tcBorders>
              <w:top w:val="single" w:sz="4" w:space="0" w:color="0070C0"/>
              <w:left w:val="nil"/>
              <w:bottom w:val="nil"/>
              <w:right w:val="nil"/>
            </w:tcBorders>
            <w:noWrap/>
            <w:vAlign w:val="center"/>
          </w:tcPr>
          <w:p w14:paraId="34D67B4F" w14:textId="77777777" w:rsidR="00523B72" w:rsidRDefault="00523B72" w:rsidP="0070111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9</w:t>
            </w:r>
          </w:p>
        </w:tc>
      </w:tr>
      <w:tr w:rsidR="00523B72" w14:paraId="4D831ECA" w14:textId="77777777" w:rsidTr="00523B72">
        <w:trPr>
          <w:gridBefore w:val="1"/>
          <w:gridAfter w:val="3"/>
          <w:wBefore w:w="447" w:type="dxa"/>
          <w:wAfter w:w="2576" w:type="dxa"/>
          <w:trHeight w:val="272"/>
        </w:trPr>
        <w:tc>
          <w:tcPr>
            <w:tcW w:w="76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389FB519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 Pulmonary infection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61F34AA2" w14:textId="77777777" w:rsidR="00523B72" w:rsidRDefault="00523B72" w:rsidP="0070111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523B72" w14:paraId="0C830D19" w14:textId="77777777" w:rsidTr="00523B72">
        <w:trPr>
          <w:gridBefore w:val="1"/>
          <w:gridAfter w:val="3"/>
          <w:wBefore w:w="447" w:type="dxa"/>
          <w:wAfter w:w="2576" w:type="dxa"/>
          <w:trHeight w:val="272"/>
        </w:trPr>
        <w:tc>
          <w:tcPr>
            <w:tcW w:w="767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1017A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 Pruritus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E273D8" w14:textId="77777777" w:rsidR="00523B72" w:rsidRDefault="00523B72" w:rsidP="0070111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</w:tr>
      <w:tr w:rsidR="00523B72" w14:paraId="5B6EFF57" w14:textId="77777777" w:rsidTr="00523B72">
        <w:trPr>
          <w:gridBefore w:val="1"/>
          <w:gridAfter w:val="3"/>
          <w:wBefore w:w="447" w:type="dxa"/>
          <w:wAfter w:w="2576" w:type="dxa"/>
          <w:trHeight w:val="272"/>
        </w:trPr>
        <w:tc>
          <w:tcPr>
            <w:tcW w:w="76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1A9A33A7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 Low-grade fever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28BC50A8" w14:textId="77777777" w:rsidR="00523B72" w:rsidRDefault="00523B72" w:rsidP="0070111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523B72" w14:paraId="2B69864A" w14:textId="77777777" w:rsidTr="00523B72">
        <w:trPr>
          <w:gridBefore w:val="1"/>
          <w:gridAfter w:val="3"/>
          <w:wBefore w:w="447" w:type="dxa"/>
          <w:wAfter w:w="2576" w:type="dxa"/>
          <w:trHeight w:val="272"/>
        </w:trPr>
        <w:tc>
          <w:tcPr>
            <w:tcW w:w="767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46A34B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 Chills and high fever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3434C" w14:textId="77777777" w:rsidR="00523B72" w:rsidRDefault="00523B72" w:rsidP="0070111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523B72" w14:paraId="7AA8C385" w14:textId="77777777" w:rsidTr="00523B72">
        <w:trPr>
          <w:gridBefore w:val="1"/>
          <w:gridAfter w:val="3"/>
          <w:wBefore w:w="447" w:type="dxa"/>
          <w:wAfter w:w="2576" w:type="dxa"/>
          <w:trHeight w:val="281"/>
        </w:trPr>
        <w:tc>
          <w:tcPr>
            <w:tcW w:w="76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0A5189E5" w14:textId="77777777" w:rsidR="00523B72" w:rsidRDefault="00523B72" w:rsidP="0070111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 xml:space="preserve"> Nausea,vomiting and high fever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6F9F7"/>
            <w:noWrap/>
            <w:vAlign w:val="center"/>
          </w:tcPr>
          <w:p w14:paraId="7523D4D4" w14:textId="77777777" w:rsidR="00523B72" w:rsidRDefault="00523B72" w:rsidP="0070111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</w:tr>
    </w:tbl>
    <w:p w14:paraId="30AE69CA" w14:textId="77777777" w:rsidR="00523B72" w:rsidRDefault="00523B72"/>
    <w:sectPr w:rsidR="00523B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B72"/>
    <w:rsid w:val="000C4033"/>
    <w:rsid w:val="00173ED8"/>
    <w:rsid w:val="004B42CB"/>
    <w:rsid w:val="00523B72"/>
    <w:rsid w:val="005F2B46"/>
    <w:rsid w:val="006E1731"/>
    <w:rsid w:val="00866D74"/>
    <w:rsid w:val="00882A73"/>
    <w:rsid w:val="00B260B7"/>
    <w:rsid w:val="00B85331"/>
    <w:rsid w:val="00BE2FFF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F2C27"/>
  <w15:chartTrackingRefBased/>
  <w15:docId w15:val="{7DC8419C-7BA3-4457-AFBD-5E16599B6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B72"/>
    <w:pPr>
      <w:widowControl w:val="0"/>
      <w:spacing w:after="0" w:line="240" w:lineRule="auto"/>
      <w:jc w:val="both"/>
    </w:pPr>
    <w:rPr>
      <w:rFonts w:eastAsiaTheme="minorEastAsia"/>
      <w:sz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3B72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3B72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3B72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3B72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3B72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3B72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3B72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3B72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3B72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3B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3B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3B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3B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3B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3B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3B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3B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3B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3B72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23B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3B72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23B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3B72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23B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3B72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23B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3B7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3B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3B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582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2026-04-27T10:55:00Z</dcterms:created>
  <dcterms:modified xsi:type="dcterms:W3CDTF">2026-04-27T10:57:00Z</dcterms:modified>
</cp:coreProperties>
</file>