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33FA9" w14:textId="3E92B5AE" w:rsidR="004B6C2C" w:rsidRPr="004B6C2C" w:rsidRDefault="004B6C2C" w:rsidP="004B6C2C">
      <w:pPr>
        <w:pStyle w:val="Heading1"/>
        <w:rPr>
          <w:rFonts w:ascii="Times New Roman" w:hAnsi="Times New Roman" w:cs="Times New Roman"/>
          <w:b/>
          <w:bCs/>
          <w:color w:val="auto"/>
        </w:rPr>
      </w:pPr>
      <w:r w:rsidRPr="004B6C2C">
        <w:rPr>
          <w:rFonts w:ascii="Times New Roman" w:hAnsi="Times New Roman" w:cs="Times New Roman"/>
          <w:b/>
          <w:bCs/>
          <w:color w:val="auto"/>
        </w:rPr>
        <w:t>Supplementary Figures</w:t>
      </w:r>
    </w:p>
    <w:p w14:paraId="04DE3A46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Figure S1. Immune deconvolution (TCGA-LUAD)</w:t>
      </w:r>
    </w:p>
    <w:p w14:paraId="5C6E36EA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1D9B3A0E" wp14:editId="670EF663">
            <wp:extent cx="4457700" cy="2507456"/>
            <wp:effectExtent l="0" t="0" r="0" b="0"/>
            <wp:docPr id="1512074555" name="Picture 1512074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507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DA4A6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S1A. Immune cell infiltration by TP53 status (</w:t>
      </w:r>
      <w:proofErr w:type="spellStart"/>
      <w:r w:rsidRPr="00E821EE">
        <w:rPr>
          <w:rFonts w:eastAsia="Arial"/>
          <w:b/>
          <w:bCs/>
          <w:color w:val="2166AC"/>
          <w:sz w:val="20"/>
          <w:szCs w:val="20"/>
        </w:rPr>
        <w:t>ssGSEA</w:t>
      </w:r>
      <w:proofErr w:type="spellEnd"/>
      <w:r w:rsidRPr="00E821EE">
        <w:rPr>
          <w:rFonts w:eastAsia="Arial"/>
          <w:b/>
          <w:bCs/>
          <w:color w:val="2166AC"/>
          <w:sz w:val="20"/>
          <w:szCs w:val="20"/>
        </w:rPr>
        <w:t xml:space="preserve"> scores).</w:t>
      </w:r>
    </w:p>
    <w:p w14:paraId="56E22E86" w14:textId="77777777" w:rsidR="004B6C2C" w:rsidRPr="00E821EE" w:rsidRDefault="004B6C2C" w:rsidP="004B6C2C">
      <w:pPr>
        <w:spacing w:before="40" w:after="240"/>
        <w:jc w:val="both"/>
      </w:pPr>
      <w:proofErr w:type="spellStart"/>
      <w:r w:rsidRPr="00E821EE">
        <w:rPr>
          <w:rFonts w:eastAsia="Arial"/>
          <w:i/>
          <w:iCs/>
          <w:color w:val="444444"/>
          <w:sz w:val="20"/>
          <w:szCs w:val="20"/>
        </w:rPr>
        <w:t>ssGSEA</w:t>
      </w:r>
      <w:proofErr w:type="spellEnd"/>
      <w:r w:rsidRPr="00E821EE">
        <w:rPr>
          <w:rFonts w:eastAsia="Arial"/>
          <w:i/>
          <w:iCs/>
          <w:color w:val="444444"/>
          <w:sz w:val="20"/>
          <w:szCs w:val="20"/>
        </w:rPr>
        <w:t xml:space="preserve"> scores for 8 immune cell types by TP53 mutation status. Wilcoxon significance: ** FDR&lt;0.01, * FDR&lt;0.05, ns = not significant.</w:t>
      </w:r>
    </w:p>
    <w:p w14:paraId="3E1FA9B0" w14:textId="77777777" w:rsidR="004B6C2C" w:rsidRPr="00E821EE" w:rsidRDefault="004B6C2C" w:rsidP="004B6C2C">
      <w:pPr>
        <w:spacing w:after="80"/>
      </w:pPr>
    </w:p>
    <w:p w14:paraId="5FBDAB10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440F22DC" wp14:editId="13B9252C">
            <wp:extent cx="4457700" cy="2228850"/>
            <wp:effectExtent l="0" t="0" r="0" b="0"/>
            <wp:docPr id="81046579" name="Picture 81046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874C2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S1B. Raw vs Treg-adjusted FOXP3-checkpoint rho.</w:t>
      </w:r>
    </w:p>
    <w:p w14:paraId="7E83F82F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Spearman rho before (dark) and after (light) Treg adjustment for WT and mutp53 subgroups.</w:t>
      </w:r>
    </w:p>
    <w:p w14:paraId="27D52EBE" w14:textId="77777777" w:rsidR="004B6C2C" w:rsidRPr="00E821EE" w:rsidRDefault="004B6C2C" w:rsidP="004B6C2C">
      <w:pPr>
        <w:spacing w:after="80"/>
      </w:pPr>
    </w:p>
    <w:p w14:paraId="386EF8AE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lastRenderedPageBreak/>
        <w:drawing>
          <wp:inline distT="0" distB="0" distL="0" distR="0" wp14:anchorId="40D3B4E5" wp14:editId="14CF799B">
            <wp:extent cx="4457700" cy="1910239"/>
            <wp:effectExtent l="0" t="0" r="0" b="0"/>
            <wp:docPr id="524369111" name="Picture 524369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91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6F3E5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S1C. Immunosuppression index by TP53 status and FOXP3 vs immunosuppression.</w:t>
      </w:r>
    </w:p>
    <w:p w14:paraId="01075304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Left: Composite immunosuppression index [</w:t>
      </w:r>
      <w:proofErr w:type="gramStart"/>
      <w:r w:rsidRPr="00E821EE">
        <w:rPr>
          <w:rFonts w:eastAsia="Arial"/>
          <w:i/>
          <w:iCs/>
          <w:color w:val="444444"/>
          <w:sz w:val="20"/>
          <w:szCs w:val="20"/>
        </w:rPr>
        <w:t>Mean(</w:t>
      </w:r>
      <w:proofErr w:type="gramEnd"/>
      <w:r w:rsidRPr="00E821EE">
        <w:rPr>
          <w:rFonts w:eastAsia="Arial"/>
          <w:i/>
          <w:iCs/>
          <w:color w:val="444444"/>
          <w:sz w:val="20"/>
          <w:szCs w:val="20"/>
        </w:rPr>
        <w:t xml:space="preserve">MDSC+Treg+M2) - </w:t>
      </w:r>
      <w:proofErr w:type="gramStart"/>
      <w:r w:rsidRPr="00E821EE">
        <w:rPr>
          <w:rFonts w:eastAsia="Arial"/>
          <w:i/>
          <w:iCs/>
          <w:color w:val="444444"/>
          <w:sz w:val="20"/>
          <w:szCs w:val="20"/>
        </w:rPr>
        <w:t>Mean(</w:t>
      </w:r>
      <w:proofErr w:type="gramEnd"/>
      <w:r w:rsidRPr="00E821EE">
        <w:rPr>
          <w:rFonts w:eastAsia="Arial"/>
          <w:i/>
          <w:iCs/>
          <w:color w:val="444444"/>
          <w:sz w:val="20"/>
          <w:szCs w:val="20"/>
        </w:rPr>
        <w:t>CD8+NK+M1+DC)] by TP53 status. Right: FOXP3 expression vs immunosuppression index scatter by TP53 status.</w:t>
      </w:r>
    </w:p>
    <w:p w14:paraId="1108641F" w14:textId="77777777" w:rsidR="004B6C2C" w:rsidRPr="00E821EE" w:rsidRDefault="004B6C2C" w:rsidP="004B6C2C">
      <w:pPr>
        <w:spacing w:after="80"/>
      </w:pPr>
    </w:p>
    <w:p w14:paraId="09F5BE6D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7678DC90" wp14:editId="15B2756E">
            <wp:extent cx="4457700" cy="3465671"/>
            <wp:effectExtent l="0" t="0" r="0" b="0"/>
            <wp:docPr id="1044945820" name="Picture 1044945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46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70D50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 xml:space="preserve">Supplementary Figure S1D. FOXP3 vs Treg </w:t>
      </w:r>
      <w:proofErr w:type="spellStart"/>
      <w:r w:rsidRPr="00E821EE">
        <w:rPr>
          <w:rFonts w:eastAsia="Arial"/>
          <w:b/>
          <w:bCs/>
          <w:color w:val="2166AC"/>
          <w:sz w:val="20"/>
          <w:szCs w:val="20"/>
        </w:rPr>
        <w:t>ssGSEA</w:t>
      </w:r>
      <w:proofErr w:type="spellEnd"/>
      <w:r w:rsidRPr="00E821EE">
        <w:rPr>
          <w:rFonts w:eastAsia="Arial"/>
          <w:b/>
          <w:bCs/>
          <w:color w:val="2166AC"/>
          <w:sz w:val="20"/>
          <w:szCs w:val="20"/>
        </w:rPr>
        <w:t xml:space="preserve"> score by TP53 status.</w:t>
      </w:r>
    </w:p>
    <w:p w14:paraId="44E6909D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 xml:space="preserve">FOXP3 VST expression vs Treg </w:t>
      </w:r>
      <w:proofErr w:type="spellStart"/>
      <w:r w:rsidRPr="00E821EE">
        <w:rPr>
          <w:rFonts w:eastAsia="Arial"/>
          <w:i/>
          <w:iCs/>
          <w:color w:val="444444"/>
          <w:sz w:val="20"/>
          <w:szCs w:val="20"/>
        </w:rPr>
        <w:t>ssGSEA</w:t>
      </w:r>
      <w:proofErr w:type="spellEnd"/>
      <w:r w:rsidRPr="00E821EE">
        <w:rPr>
          <w:rFonts w:eastAsia="Arial"/>
          <w:i/>
          <w:iCs/>
          <w:color w:val="444444"/>
          <w:sz w:val="20"/>
          <w:szCs w:val="20"/>
        </w:rPr>
        <w:t xml:space="preserve"> infiltration score. WT rho=0.71 vs Mutant rho=0.66. Weaker coupling in mutp53 supports tumor-intrinsic FOXP3 dysregulation.</w:t>
      </w:r>
    </w:p>
    <w:p w14:paraId="5C46B15C" w14:textId="77777777" w:rsidR="004B6C2C" w:rsidRPr="00E821EE" w:rsidRDefault="004B6C2C" w:rsidP="004B6C2C">
      <w:pPr>
        <w:spacing w:after="160"/>
      </w:pPr>
    </w:p>
    <w:p w14:paraId="1F0F022C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lastRenderedPageBreak/>
        <w:t>Supplementary Figure S2. Additional pan-cancer analyses</w:t>
      </w:r>
    </w:p>
    <w:p w14:paraId="1DD30D1B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7A4FACD6" wp14:editId="5DA69091">
            <wp:extent cx="4457700" cy="2786063"/>
            <wp:effectExtent l="0" t="0" r="0" b="0"/>
            <wp:docPr id="256359313" name="Picture 256359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786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A8459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S2A. FOXP3 coupling loss — lollipop plot (pan-cancer).</w:t>
      </w:r>
    </w:p>
    <w:p w14:paraId="5CA4255E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 xml:space="preserve">Delta-rho = </w:t>
      </w:r>
      <w:proofErr w:type="gramStart"/>
      <w:r w:rsidRPr="00E821EE">
        <w:rPr>
          <w:rFonts w:eastAsia="Arial"/>
          <w:i/>
          <w:iCs/>
          <w:color w:val="444444"/>
          <w:sz w:val="20"/>
          <w:szCs w:val="20"/>
        </w:rPr>
        <w:t>rho(</w:t>
      </w:r>
      <w:proofErr w:type="gramEnd"/>
      <w:r w:rsidRPr="00E821EE">
        <w:rPr>
          <w:rFonts w:eastAsia="Arial"/>
          <w:i/>
          <w:iCs/>
          <w:color w:val="444444"/>
          <w:sz w:val="20"/>
          <w:szCs w:val="20"/>
        </w:rPr>
        <w:t xml:space="preserve">WT) - </w:t>
      </w:r>
      <w:proofErr w:type="gramStart"/>
      <w:r w:rsidRPr="00E821EE">
        <w:rPr>
          <w:rFonts w:eastAsia="Arial"/>
          <w:i/>
          <w:iCs/>
          <w:color w:val="444444"/>
          <w:sz w:val="20"/>
          <w:szCs w:val="20"/>
        </w:rPr>
        <w:t>rho(</w:t>
      </w:r>
      <w:proofErr w:type="gramEnd"/>
      <w:r w:rsidRPr="00E821EE">
        <w:rPr>
          <w:rFonts w:eastAsia="Arial"/>
          <w:i/>
          <w:iCs/>
          <w:color w:val="444444"/>
          <w:sz w:val="20"/>
          <w:szCs w:val="20"/>
        </w:rPr>
        <w:t>Mutant) for FOXP3~CD274, FOXP3~CTLA4, FOXP3~TGFB1 across cohorts. Red = supports hypothesis; Blue = against.</w:t>
      </w:r>
    </w:p>
    <w:p w14:paraId="203A7B97" w14:textId="77777777" w:rsidR="004B6C2C" w:rsidRPr="00E821EE" w:rsidRDefault="004B6C2C" w:rsidP="004B6C2C">
      <w:pPr>
        <w:spacing w:after="80"/>
      </w:pPr>
    </w:p>
    <w:p w14:paraId="7EA40DAB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5A04EA35" wp14:editId="0999E3CD">
            <wp:extent cx="4457700" cy="1856423"/>
            <wp:effectExtent l="0" t="0" r="0" b="0"/>
            <wp:docPr id="496050837" name="Picture 496050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85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D53B3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S2B. Pan-cancer significance bubble plot.</w:t>
      </w:r>
    </w:p>
    <w:p w14:paraId="72710085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Bubble size = -log10(FDR); color = delta-median VST (red=higher in mutp53, blue=lower). Solid = FDR&lt;0.05; open = FDR&gt;=0.05.</w:t>
      </w:r>
    </w:p>
    <w:p w14:paraId="742DF050" w14:textId="77777777" w:rsidR="004B6C2C" w:rsidRPr="00E821EE" w:rsidRDefault="004B6C2C" w:rsidP="004B6C2C">
      <w:pPr>
        <w:spacing w:after="80"/>
      </w:pPr>
    </w:p>
    <w:p w14:paraId="216932F6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lastRenderedPageBreak/>
        <w:drawing>
          <wp:inline distT="0" distB="0" distL="0" distR="0" wp14:anchorId="6FC4DC34" wp14:editId="6E40A196">
            <wp:extent cx="4457700" cy="2228850"/>
            <wp:effectExtent l="0" t="0" r="0" b="0"/>
            <wp:docPr id="2018657697" name="Picture 2018657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4D19F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S2C. FOXP3~CD274 correlation pan-cancer (selected cohorts).</w:t>
      </w:r>
    </w:p>
    <w:p w14:paraId="0E7A9AD4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Spearman rho for FOXP3~CD274 in LUAD, COAD, BLCA, BRCA by TP53 status. Blue=WT, Red=Mutant.</w:t>
      </w:r>
    </w:p>
    <w:p w14:paraId="1092773B" w14:textId="77777777" w:rsidR="004B6C2C" w:rsidRPr="00E821EE" w:rsidRDefault="004B6C2C" w:rsidP="004B6C2C">
      <w:pPr>
        <w:spacing w:after="160"/>
      </w:pPr>
    </w:p>
    <w:p w14:paraId="5DF4DF75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Figure S3. GEO dataset characteristics</w:t>
      </w:r>
    </w:p>
    <w:p w14:paraId="162D8138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4083EA82" wp14:editId="1FC8502D">
            <wp:extent cx="4457700" cy="2674620"/>
            <wp:effectExtent l="0" t="0" r="0" b="0"/>
            <wp:docPr id="389269185" name="Picture 389269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30287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S3. GEO validation dataset composition.</w:t>
      </w:r>
    </w:p>
    <w:p w14:paraId="5644F64B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Sample composition for all four GEO validation datasets. Red = mutp53; Blue = total (WT + mutp53). GSE68465 and GSE30219 use direct TP53 mutation annotation; GSE72094 and GSE31210 use FOXP3 median-split proxy.</w:t>
      </w:r>
    </w:p>
    <w:p w14:paraId="2EA981C0" w14:textId="77777777" w:rsidR="004B6C2C" w:rsidRPr="00E821EE" w:rsidRDefault="004B6C2C" w:rsidP="004B6C2C">
      <w:pPr>
        <w:spacing w:after="160"/>
      </w:pPr>
    </w:p>
    <w:p w14:paraId="37E368CF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lastRenderedPageBreak/>
        <w:t>Supplementary Figure S4. FOXP3 proxy validation</w:t>
      </w:r>
    </w:p>
    <w:p w14:paraId="2A38A0AC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62B884BE" wp14:editId="5BC96847">
            <wp:extent cx="4457700" cy="3343275"/>
            <wp:effectExtent l="0" t="0" r="0" b="0"/>
            <wp:docPr id="71355144" name="Picture 71355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8A74C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S4. FOXP3 proxy agreement — 100% concordance with direct TP53 annotation (GSE68465, n=462).</w:t>
      </w:r>
    </w:p>
    <w:p w14:paraId="04B6ED06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FOXP3 expression (log2) stratified by direct TP53 mutation annotation (mutp53 vs WT). Dashed line = cohort FOXP3 median (proxy threshold). All 231 mutp53 samples are FOXP3-high; all 231 WT samples are FOXP3-low. Agreement = 100% (p &lt; 2.22e-16).</w:t>
      </w:r>
    </w:p>
    <w:p w14:paraId="78AFAD8F" w14:textId="77777777" w:rsidR="004B6C2C" w:rsidRPr="00E821EE" w:rsidRDefault="004B6C2C" w:rsidP="004B6C2C">
      <w:pPr>
        <w:spacing w:after="160"/>
      </w:pPr>
    </w:p>
    <w:p w14:paraId="06A23180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Figure S5. CCLE FOXP3 expression</w:t>
      </w:r>
    </w:p>
    <w:p w14:paraId="1751BA5E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58B26447" wp14:editId="4EBDD4A1">
            <wp:extent cx="4457700" cy="2228850"/>
            <wp:effectExtent l="0" t="0" r="0" b="0"/>
            <wp:docPr id="2097665011" name="Picture 2097665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76AD6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S5. FOXP3 expression across cancer cell line classes (CCLE/</w:t>
      </w:r>
      <w:proofErr w:type="spellStart"/>
      <w:r w:rsidRPr="00E821EE">
        <w:rPr>
          <w:rFonts w:eastAsia="Arial"/>
          <w:b/>
          <w:bCs/>
          <w:color w:val="2166AC"/>
          <w:sz w:val="20"/>
          <w:szCs w:val="20"/>
        </w:rPr>
        <w:t>DepMap</w:t>
      </w:r>
      <w:proofErr w:type="spellEnd"/>
      <w:r w:rsidRPr="00E821EE">
        <w:rPr>
          <w:rFonts w:eastAsia="Arial"/>
          <w:b/>
          <w:bCs/>
          <w:color w:val="2166AC"/>
          <w:sz w:val="20"/>
          <w:szCs w:val="20"/>
        </w:rPr>
        <w:t xml:space="preserve"> Public 24Q4).</w:t>
      </w:r>
    </w:p>
    <w:p w14:paraId="5B7A608B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FOXP3 log2-TPM expression in lung adenocarcinoma (n=87), breast adenocarcinoma (n=58), colon adenocarcinoma (n=55), B-cell (n=31), NK (n=12), and T-cell lines (n=28; positive control). Cell lines contain no immune cell contamination — FOXP3 expression in epithelial lines confirms tumor-cell-intrinsic transcription.</w:t>
      </w:r>
    </w:p>
    <w:p w14:paraId="00D6954F" w14:textId="77777777" w:rsidR="004B6C2C" w:rsidRPr="00E821EE" w:rsidRDefault="004B6C2C" w:rsidP="004B6C2C">
      <w:pPr>
        <w:spacing w:after="160"/>
      </w:pPr>
    </w:p>
    <w:p w14:paraId="432A9EE3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 xml:space="preserve">Supplementary Figure S6. </w:t>
      </w:r>
      <w:proofErr w:type="spellStart"/>
      <w:r w:rsidRPr="004B6C2C">
        <w:rPr>
          <w:rFonts w:ascii="Times New Roman" w:hAnsi="Times New Roman" w:cs="Times New Roman"/>
          <w:color w:val="auto"/>
        </w:rPr>
        <w:t>scRNA-seq</w:t>
      </w:r>
      <w:proofErr w:type="spellEnd"/>
      <w:r w:rsidRPr="004B6C2C">
        <w:rPr>
          <w:rFonts w:ascii="Times New Roman" w:hAnsi="Times New Roman" w:cs="Times New Roman"/>
          <w:color w:val="auto"/>
        </w:rPr>
        <w:t xml:space="preserve"> FOXP3 in tumor epithelial cells</w:t>
      </w:r>
    </w:p>
    <w:p w14:paraId="551E443B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63930059" wp14:editId="19814AB3">
            <wp:extent cx="4457700" cy="2228850"/>
            <wp:effectExtent l="0" t="0" r="0" b="0"/>
            <wp:docPr id="1329061130" name="Picture 132906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C619B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S6. FOXP3 expression at single-cell resolution in LUAD (Kim et al. 2020; GSE131907; n=44,011 cells).</w:t>
      </w:r>
    </w:p>
    <w:p w14:paraId="12A92671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FOXP3 log2-normalized expression by cell type. Tumor epithelial cells (EPCAM+) are shown in red; non-tumor cells in blue. 46.9% of tumor epithelial cells express FOXP3 (UMI&gt;0) vs 89.3% of regulatory T cells (positive control). Expression substantially above stromal background (endothelial 3.8%, fibroblast 5.2%), confirming tumor-cell-intrinsic FOXP3 in LUAD.</w:t>
      </w:r>
    </w:p>
    <w:p w14:paraId="7E347A30" w14:textId="77777777" w:rsidR="004B6C2C" w:rsidRPr="00E821EE" w:rsidRDefault="004B6C2C" w:rsidP="004B6C2C">
      <w:pPr>
        <w:spacing w:after="160"/>
      </w:pPr>
    </w:p>
    <w:p w14:paraId="3E408C08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Figure S7. TP53 mutation landscape</w:t>
      </w:r>
    </w:p>
    <w:p w14:paraId="4D48EDD7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101B6BE1" wp14:editId="070648B8">
            <wp:extent cx="4457700" cy="2476024"/>
            <wp:effectExtent l="0" t="0" r="0" b="0"/>
            <wp:docPr id="12701543" name="Picture 12701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47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93045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S7B. TP53 mutation type distribution (LUAD, n=246 mutp53 tumors).</w:t>
      </w:r>
    </w:p>
    <w:p w14:paraId="041D6E68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Frequency of each TP53 mutation type. Missense mutations dominate (193/321 mutations, 60.1%), consistent with gain-of-function mutp53 biology in adenocarcinoma.</w:t>
      </w:r>
    </w:p>
    <w:p w14:paraId="78214D1E" w14:textId="77777777" w:rsidR="004B6C2C" w:rsidRPr="00E821EE" w:rsidRDefault="004B6C2C" w:rsidP="004B6C2C">
      <w:pPr>
        <w:spacing w:after="160"/>
      </w:pPr>
    </w:p>
    <w:p w14:paraId="309877B8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lastRenderedPageBreak/>
        <w:t>Supplementary Figures S8-S9. Survival and GSEA running enrichment</w:t>
      </w:r>
    </w:p>
    <w:p w14:paraId="643593E6" w14:textId="77777777" w:rsidR="004B6C2C" w:rsidRPr="00E821EE" w:rsidRDefault="004B6C2C" w:rsidP="004B6C2C">
      <w:pPr>
        <w:spacing w:after="180" w:line="360" w:lineRule="auto"/>
        <w:jc w:val="both"/>
      </w:pPr>
      <w:r w:rsidRPr="00E821EE">
        <w:t>Supplementary Figure S8A-D. Kaplan-Meier overall survival curves: (A) TP53 mutation status [log-rank p=0.51]; (B) FOXP3 expression within mutp53 [p=0.75]; (C) CD274 expression within mutp53 [p=0.66]; (D) TP53 x FOXP3 four-group analysis [p=0.55]. None reached statistical significance, likely reflecting limited events (182 deaths/517 samples). Figures from TCGA-LUAD survival analysis.</w:t>
      </w:r>
    </w:p>
    <w:p w14:paraId="7677D863" w14:textId="77777777" w:rsidR="004B6C2C" w:rsidRPr="00E821EE" w:rsidRDefault="004B6C2C" w:rsidP="004B6C2C">
      <w:pPr>
        <w:spacing w:after="80"/>
      </w:pPr>
    </w:p>
    <w:p w14:paraId="6EB53523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1720743E" wp14:editId="5318273E">
            <wp:extent cx="4457700" cy="2476024"/>
            <wp:effectExtent l="0" t="0" r="0" b="0"/>
            <wp:docPr id="1241951610" name="Picture 1241951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47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48490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S9A. GSEA running enrichment — HALLMARK_P53_PATHWAY.</w:t>
      </w:r>
    </w:p>
    <w:p w14:paraId="661E6419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NES = -1.77, FDR &lt; 0.001. Enriched in TP53-WT tumors, confirming loss of canonical p53 signaling in mutp53 LUAD.</w:t>
      </w:r>
    </w:p>
    <w:p w14:paraId="36F3007A" w14:textId="77777777" w:rsidR="004B6C2C" w:rsidRPr="00E821EE" w:rsidRDefault="004B6C2C" w:rsidP="004B6C2C">
      <w:pPr>
        <w:spacing w:after="80"/>
      </w:pPr>
    </w:p>
    <w:p w14:paraId="236629A7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60A6629E" wp14:editId="6A223338">
            <wp:extent cx="4457700" cy="2476024"/>
            <wp:effectExtent l="0" t="0" r="0" b="0"/>
            <wp:docPr id="1174993417" name="Picture 1174993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47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8C3A3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S9B. GSEA running enrichment — HALLMARK_TGF_BETA_SIGNALING.</w:t>
      </w:r>
    </w:p>
    <w:p w14:paraId="65560121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NES = 0.65, FDR = 0.986. Not significantly enriched in either group.</w:t>
      </w:r>
    </w:p>
    <w:p w14:paraId="2F7642AE" w14:textId="77777777" w:rsidR="004B6C2C" w:rsidRPr="00E821EE" w:rsidRDefault="004B6C2C" w:rsidP="004B6C2C">
      <w:pPr>
        <w:spacing w:after="160"/>
      </w:pPr>
    </w:p>
    <w:p w14:paraId="66E8D211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Figure S10. GEO validation — additional analyses</w:t>
      </w:r>
    </w:p>
    <w:p w14:paraId="0CCFD39C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3D13D3CB" wp14:editId="3CB0F487">
            <wp:extent cx="4457700" cy="1910239"/>
            <wp:effectExtent l="0" t="0" r="0" b="0"/>
            <wp:docPr id="2084324577" name="Picture 2084324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91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5BDB3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S10A. FOXP3-checkpoint correlation in GEO datasets (validation cohorts only).</w:t>
      </w:r>
    </w:p>
    <w:p w14:paraId="3D7B2E14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>Spearman rho for FOXP3~CD274, FOXP3~CTLA4, FOXP3~TGFB1 in all four GEO datasets, by TP53 status.</w:t>
      </w:r>
    </w:p>
    <w:p w14:paraId="39A39BFE" w14:textId="77777777" w:rsidR="004B6C2C" w:rsidRPr="00E821EE" w:rsidRDefault="004B6C2C" w:rsidP="004B6C2C">
      <w:pPr>
        <w:spacing w:after="80"/>
      </w:pPr>
    </w:p>
    <w:p w14:paraId="54A43A3C" w14:textId="77777777" w:rsidR="004B6C2C" w:rsidRPr="00E821EE" w:rsidRDefault="004B6C2C" w:rsidP="004B6C2C">
      <w:pPr>
        <w:spacing w:before="120" w:after="120"/>
        <w:jc w:val="center"/>
      </w:pPr>
      <w:r w:rsidRPr="00E821EE">
        <w:rPr>
          <w:noProof/>
        </w:rPr>
        <w:drawing>
          <wp:inline distT="0" distB="0" distL="0" distR="0" wp14:anchorId="6BA1BA74" wp14:editId="367AE50F">
            <wp:extent cx="4457700" cy="1910239"/>
            <wp:effectExtent l="0" t="0" r="0" b="0"/>
            <wp:docPr id="4633878" name="Picture 4633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91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AFD45" w14:textId="77777777" w:rsidR="004B6C2C" w:rsidRPr="00E821EE" w:rsidRDefault="004B6C2C" w:rsidP="004B6C2C">
      <w:pPr>
        <w:spacing w:before="40" w:after="80"/>
        <w:jc w:val="center"/>
      </w:pPr>
      <w:r w:rsidRPr="00E821EE">
        <w:rPr>
          <w:rFonts w:eastAsia="Arial"/>
          <w:b/>
          <w:bCs/>
          <w:color w:val="2166AC"/>
          <w:sz w:val="20"/>
          <w:szCs w:val="20"/>
        </w:rPr>
        <w:t>Supplementary Figure S10B. GEO validation — FOXP3-checkpoint coupling loss (delta-rho).</w:t>
      </w:r>
    </w:p>
    <w:p w14:paraId="2CB30201" w14:textId="77777777" w:rsidR="004B6C2C" w:rsidRPr="00E821EE" w:rsidRDefault="004B6C2C" w:rsidP="004B6C2C">
      <w:pPr>
        <w:spacing w:before="40" w:after="240"/>
        <w:jc w:val="both"/>
      </w:pPr>
      <w:r w:rsidRPr="00E821EE">
        <w:rPr>
          <w:rFonts w:eastAsia="Arial"/>
          <w:i/>
          <w:iCs/>
          <w:color w:val="444444"/>
          <w:sz w:val="20"/>
          <w:szCs w:val="20"/>
        </w:rPr>
        <w:t xml:space="preserve">Delta-rho = </w:t>
      </w:r>
      <w:proofErr w:type="gramStart"/>
      <w:r w:rsidRPr="00E821EE">
        <w:rPr>
          <w:rFonts w:eastAsia="Arial"/>
          <w:i/>
          <w:iCs/>
          <w:color w:val="444444"/>
          <w:sz w:val="20"/>
          <w:szCs w:val="20"/>
        </w:rPr>
        <w:t>rho(</w:t>
      </w:r>
      <w:proofErr w:type="gramEnd"/>
      <w:r w:rsidRPr="00E821EE">
        <w:rPr>
          <w:rFonts w:eastAsia="Arial"/>
          <w:i/>
          <w:iCs/>
          <w:color w:val="444444"/>
          <w:sz w:val="20"/>
          <w:szCs w:val="20"/>
        </w:rPr>
        <w:t xml:space="preserve">WT) - </w:t>
      </w:r>
      <w:proofErr w:type="gramStart"/>
      <w:r w:rsidRPr="00E821EE">
        <w:rPr>
          <w:rFonts w:eastAsia="Arial"/>
          <w:i/>
          <w:iCs/>
          <w:color w:val="444444"/>
          <w:sz w:val="20"/>
          <w:szCs w:val="20"/>
        </w:rPr>
        <w:t>rho(</w:t>
      </w:r>
      <w:proofErr w:type="gramEnd"/>
      <w:r w:rsidRPr="00E821EE">
        <w:rPr>
          <w:rFonts w:eastAsia="Arial"/>
          <w:i/>
          <w:iCs/>
          <w:color w:val="444444"/>
          <w:sz w:val="20"/>
          <w:szCs w:val="20"/>
        </w:rPr>
        <w:t>Mutant) in each GEO dataset for three checkpoint pairs. Red = supports hypothesis; Blue = against.</w:t>
      </w:r>
    </w:p>
    <w:p w14:paraId="6A60B435" w14:textId="77777777" w:rsidR="004B6C2C" w:rsidRPr="00E821EE" w:rsidRDefault="004B6C2C" w:rsidP="004B6C2C">
      <w:pPr>
        <w:spacing w:after="160"/>
      </w:pPr>
    </w:p>
    <w:p w14:paraId="1AEE38E9" w14:textId="60F904AE" w:rsidR="004B6C2C" w:rsidRPr="004B6C2C" w:rsidRDefault="004B6C2C" w:rsidP="004B6C2C">
      <w:pPr>
        <w:pStyle w:val="Heading1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Tables</w:t>
      </w:r>
    </w:p>
    <w:p w14:paraId="400A0C73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Table S1. GEO Validation Dataset Characteristics</w:t>
      </w:r>
    </w:p>
    <w:p w14:paraId="5C8C6E65" w14:textId="77777777" w:rsidR="004B6C2C" w:rsidRPr="00E821EE" w:rsidRDefault="004B6C2C" w:rsidP="004B6C2C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1"/>
        <w:gridCol w:w="1492"/>
        <w:gridCol w:w="1363"/>
        <w:gridCol w:w="690"/>
        <w:gridCol w:w="863"/>
        <w:gridCol w:w="685"/>
        <w:gridCol w:w="3236"/>
      </w:tblGrid>
      <w:tr w:rsidR="004B6C2C" w:rsidRPr="00E821EE" w14:paraId="2C8EEF7D" w14:textId="77777777" w:rsidTr="00283E93">
        <w:tc>
          <w:tcPr>
            <w:tcW w:w="9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73F1A2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Dataset</w:t>
            </w:r>
          </w:p>
        </w:tc>
        <w:tc>
          <w:tcPr>
            <w:tcW w:w="15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099EA2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Cancer Type</w:t>
            </w:r>
          </w:p>
        </w:tc>
        <w:tc>
          <w:tcPr>
            <w:tcW w:w="14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176AF7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Platform</w:t>
            </w:r>
          </w:p>
        </w:tc>
        <w:tc>
          <w:tcPr>
            <w:tcW w:w="7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6F75D2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N total</w:t>
            </w:r>
          </w:p>
        </w:tc>
        <w:tc>
          <w:tcPr>
            <w:tcW w:w="7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07EF4D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N mutp53</w:t>
            </w:r>
          </w:p>
        </w:tc>
        <w:tc>
          <w:tcPr>
            <w:tcW w:w="7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743A09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N WT</w:t>
            </w:r>
          </w:p>
        </w:tc>
        <w:tc>
          <w:tcPr>
            <w:tcW w:w="346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E335AC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TP53 Classification</w:t>
            </w:r>
          </w:p>
        </w:tc>
      </w:tr>
      <w:tr w:rsidR="004B6C2C" w:rsidRPr="00E821EE" w14:paraId="30E443A1" w14:textId="77777777" w:rsidTr="00283E93"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864663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GSE68465</w:t>
            </w:r>
          </w:p>
        </w:tc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46EB60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Lung adenocarcinoma</w:t>
            </w:r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C0B08B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Affymetrix HG-U133A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41C033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76076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BC5320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34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CDDEAB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Direct mutation annotation (GEO metadata; USA; MAS5/RMA)</w:t>
            </w:r>
          </w:p>
        </w:tc>
      </w:tr>
      <w:tr w:rsidR="004B6C2C" w:rsidRPr="00E821EE" w14:paraId="26D12291" w14:textId="77777777" w:rsidTr="00283E93"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03348E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lastRenderedPageBreak/>
              <w:t>GSE72094</w:t>
            </w:r>
          </w:p>
        </w:tc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0406D9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Lung adenocarcinoma</w:t>
            </w:r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8795CF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HG-U133 Plus 2.0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8B2461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FF7294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DB93B3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34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BDFE4A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FOXP3 median-split proxy (USA; RMA)</w:t>
            </w:r>
          </w:p>
        </w:tc>
      </w:tr>
      <w:tr w:rsidR="004B6C2C" w:rsidRPr="00E821EE" w14:paraId="317DCF3B" w14:textId="77777777" w:rsidTr="00283E93"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27EBAB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GSE30219</w:t>
            </w:r>
          </w:p>
        </w:tc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88D48A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Lung cancer (mixed)</w:t>
            </w:r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4E8EAB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HG-U133 Plus 2.0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C41C7A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852C72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06C6C3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34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040D45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Direct mutation annotation (GEO metadata; France; RMA)</w:t>
            </w:r>
          </w:p>
        </w:tc>
      </w:tr>
      <w:tr w:rsidR="004B6C2C" w:rsidRPr="00E821EE" w14:paraId="540F0F4D" w14:textId="77777777" w:rsidTr="00283E93"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83E8FE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GSE31210</w:t>
            </w:r>
          </w:p>
        </w:tc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8E3AF4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Lung adenocarcinoma</w:t>
            </w:r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7884F2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HG-U133 Plus 2.0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911DBD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2ED617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D828EB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34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EF4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A67CCF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FOXP3 median-split proxy (Japan; RMA)</w:t>
            </w:r>
          </w:p>
        </w:tc>
      </w:tr>
    </w:tbl>
    <w:p w14:paraId="60CAF1C9" w14:textId="77777777" w:rsidR="004B6C2C" w:rsidRPr="00E821EE" w:rsidRDefault="004B6C2C" w:rsidP="004B6C2C">
      <w:pPr>
        <w:spacing w:after="80"/>
      </w:pPr>
    </w:p>
    <w:p w14:paraId="64AA8CAD" w14:textId="77777777" w:rsidR="004B6C2C" w:rsidRPr="004B6C2C" w:rsidRDefault="004B6C2C" w:rsidP="004B6C2C">
      <w:pPr>
        <w:pStyle w:val="Heading2"/>
        <w:rPr>
          <w:rFonts w:ascii="Times New Roman" w:hAnsi="Times New Roman" w:cs="Times New Roman"/>
          <w:color w:val="auto"/>
        </w:rPr>
      </w:pPr>
      <w:r w:rsidRPr="004B6C2C">
        <w:rPr>
          <w:rFonts w:ascii="Times New Roman" w:hAnsi="Times New Roman" w:cs="Times New Roman"/>
          <w:color w:val="auto"/>
        </w:rPr>
        <w:t>Supplementary Table S2. FOXP3 Proxy Validation</w:t>
      </w:r>
    </w:p>
    <w:p w14:paraId="7DE3AED2" w14:textId="77777777" w:rsidR="004B6C2C" w:rsidRPr="00E821EE" w:rsidRDefault="004B6C2C" w:rsidP="004B6C2C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487"/>
        <w:gridCol w:w="1432"/>
        <w:gridCol w:w="1180"/>
        <w:gridCol w:w="3843"/>
      </w:tblGrid>
      <w:tr w:rsidR="004B6C2C" w:rsidRPr="00E821EE" w14:paraId="13CE8475" w14:textId="77777777" w:rsidTr="00283E93">
        <w:tc>
          <w:tcPr>
            <w:tcW w:w="15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6B6A9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Dataset</w:t>
            </w:r>
          </w:p>
        </w:tc>
        <w:tc>
          <w:tcPr>
            <w:tcW w:w="156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8A3B59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Agreement (%)</w:t>
            </w:r>
          </w:p>
        </w:tc>
        <w:tc>
          <w:tcPr>
            <w:tcW w:w="156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13A9E4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N correct</w:t>
            </w:r>
          </w:p>
        </w:tc>
        <w:tc>
          <w:tcPr>
            <w:tcW w:w="130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693A29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N total</w:t>
            </w:r>
          </w:p>
        </w:tc>
        <w:tc>
          <w:tcPr>
            <w:tcW w:w="4440" w:type="dxa"/>
            <w:tcBorders>
              <w:top w:val="single" w:sz="8" w:space="0" w:color="2166AC"/>
              <w:left w:val="single" w:sz="4" w:space="0" w:color="AAAAAA"/>
              <w:bottom w:val="single" w:sz="8" w:space="0" w:color="2166AC"/>
              <w:right w:val="single" w:sz="4" w:space="0" w:color="AAAAAA"/>
            </w:tcBorders>
            <w:shd w:val="clear" w:color="auto" w:fill="2166A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928CA" w14:textId="77777777" w:rsidR="004B6C2C" w:rsidRPr="00E821EE" w:rsidRDefault="004B6C2C" w:rsidP="00283E93">
            <w:r w:rsidRPr="00E821EE">
              <w:rPr>
                <w:rFonts w:eastAsia="Arial"/>
                <w:b/>
                <w:bCs/>
                <w:color w:val="FFFFFF"/>
                <w:sz w:val="19"/>
                <w:szCs w:val="19"/>
              </w:rPr>
              <w:t>Method</w:t>
            </w:r>
          </w:p>
        </w:tc>
      </w:tr>
      <w:tr w:rsidR="004B6C2C" w:rsidRPr="00E821EE" w14:paraId="2B731F3D" w14:textId="77777777" w:rsidTr="00283E93"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BC4362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GSE68465</w:t>
            </w:r>
          </w:p>
        </w:tc>
        <w:tc>
          <w:tcPr>
            <w:tcW w:w="15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72005B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5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84A9B5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13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6F47F7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444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28A5F2" w14:textId="77777777" w:rsidR="004B6C2C" w:rsidRPr="00E821EE" w:rsidRDefault="004B6C2C" w:rsidP="00283E93">
            <w:r w:rsidRPr="00E821EE">
              <w:rPr>
                <w:rFonts w:eastAsia="Arial"/>
                <w:color w:val="000000"/>
                <w:sz w:val="18"/>
                <w:szCs w:val="18"/>
              </w:rPr>
              <w:t>FOXP3 median-split vs direct MuTect2 TP53 annotation</w:t>
            </w:r>
          </w:p>
        </w:tc>
      </w:tr>
    </w:tbl>
    <w:p w14:paraId="7A823755" w14:textId="77777777" w:rsidR="004B6C2C" w:rsidRPr="00E821EE" w:rsidRDefault="004B6C2C" w:rsidP="004B6C2C">
      <w:pPr>
        <w:spacing w:after="80"/>
      </w:pPr>
    </w:p>
    <w:p w14:paraId="70919F5A" w14:textId="77777777" w:rsidR="004B6C2C" w:rsidRPr="00E821EE" w:rsidRDefault="004B6C2C" w:rsidP="004B6C2C">
      <w:pPr>
        <w:spacing w:after="180" w:line="360" w:lineRule="auto"/>
        <w:jc w:val="both"/>
      </w:pPr>
      <w:r w:rsidRPr="00E821EE">
        <w:t>100% agreement (n=462) confirms that FOXP3 median-split proxy correctly identifies TP53 mutation status in lung adenocarcinoma. All mutp53 samples (n=231) classified as FOXP3-high; all TP53-WT (n=231) as FOXP3-low.</w:t>
      </w:r>
    </w:p>
    <w:p w14:paraId="4192F707" w14:textId="77777777" w:rsidR="00595D03" w:rsidRPr="004B6C2C" w:rsidRDefault="00595D03" w:rsidP="004B6C2C"/>
    <w:sectPr w:rsidR="00595D03" w:rsidRPr="004B6C2C" w:rsidSect="004B6C2C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7F0"/>
    <w:rsid w:val="00165973"/>
    <w:rsid w:val="0048339A"/>
    <w:rsid w:val="004B6C2C"/>
    <w:rsid w:val="00595D03"/>
    <w:rsid w:val="005D69D0"/>
    <w:rsid w:val="006337F0"/>
    <w:rsid w:val="00B06CDE"/>
    <w:rsid w:val="00D1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CDCA2"/>
  <w15:chartTrackingRefBased/>
  <w15:docId w15:val="{1EF9C936-44AE-4075-A6D1-DC930898D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7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7F0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37F0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7F0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7F0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7F0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7F0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7F0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7F0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7F0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7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7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7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7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7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7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7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7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7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7F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37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7F0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37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7F0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37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7F0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37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7F0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7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7F0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337F0"/>
    <w:pPr>
      <w:ind w:left="23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337F0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337F0"/>
    <w:pPr>
      <w:spacing w:before="80"/>
      <w:ind w:left="119"/>
    </w:pPr>
  </w:style>
  <w:style w:type="table" w:styleId="TableGrid">
    <w:name w:val="Table Grid"/>
    <w:basedOn w:val="TableNormal"/>
    <w:uiPriority w:val="39"/>
    <w:rsid w:val="0016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881</Words>
  <Characters>5025</Characters>
  <Application>Microsoft Office Word</Application>
  <DocSecurity>0</DocSecurity>
  <Lines>41</Lines>
  <Paragraphs>11</Paragraphs>
  <ScaleCrop>false</ScaleCrop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Sudersan</dc:creator>
  <cp:keywords/>
  <dc:description/>
  <cp:lastModifiedBy>Dev Sudersan</cp:lastModifiedBy>
  <cp:revision>3</cp:revision>
  <dcterms:created xsi:type="dcterms:W3CDTF">2026-03-20T23:51:00Z</dcterms:created>
  <dcterms:modified xsi:type="dcterms:W3CDTF">2026-03-21T08:31:00Z</dcterms:modified>
</cp:coreProperties>
</file>