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24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color w:val="1f3864"/>
          <w:sz w:val="26"/>
          <w:szCs w:val="26"/>
          <w:rtl w:val="0"/>
        </w:rPr>
        <w:t xml:space="preserve">SUPPLEMENTARY MATERIAL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8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Biotechnological Mineral Engineering of Agricultural Biomass via Acidithiobacillus thiooxidans: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8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A Sustainable Pretreatment Strategy for Advanced Bioenergy Applications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pBdr>
          <w:bottom w:color="1f3864" w:space="0" w:sz="6" w:val="single"/>
        </w:pBdr>
        <w:spacing w:after="120" w:before="30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color w:val="1f3864"/>
          <w:sz w:val="24"/>
          <w:szCs w:val="24"/>
          <w:rtl w:val="0"/>
        </w:rPr>
        <w:t xml:space="preserve">Supplementary Tables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60" w:before="1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Table S1.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ICP-OES Dissolved Metal Concentrations in Bioleachate (mg L⁻¹) — A. thiooxidans Bioleaching · 3 Substrates × 3 Pulp Densities × 3 Incubation Periods (n = 3, mean ± SD). Fe and Al were below LOQ in all samples. ★ = optimal condition. RS = Rice Straw; SCB = Sugarcane Bagasse; GNS = Groundnut Shell.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600"/>
        <w:gridCol w:w="320"/>
        <w:gridCol w:w="280"/>
        <w:gridCol w:w="400"/>
        <w:gridCol w:w="400"/>
        <w:gridCol w:w="400"/>
        <w:gridCol w:w="570"/>
        <w:gridCol w:w="510"/>
        <w:gridCol w:w="510"/>
        <w:gridCol w:w="480"/>
        <w:gridCol w:w="510"/>
        <w:gridCol w:w="560"/>
        <w:gridCol w:w="510"/>
        <w:gridCol w:w="560"/>
        <w:gridCol w:w="510"/>
        <w:gridCol w:w="560"/>
        <w:gridCol w:w="560"/>
        <w:gridCol w:w="510"/>
        <w:gridCol w:w="560"/>
        <w:gridCol w:w="510"/>
        <w:gridCol w:w="560"/>
        <w:gridCol w:w="420"/>
        <w:tblGridChange w:id="0">
          <w:tblGrid>
            <w:gridCol w:w="600"/>
            <w:gridCol w:w="320"/>
            <w:gridCol w:w="280"/>
            <w:gridCol w:w="400"/>
            <w:gridCol w:w="400"/>
            <w:gridCol w:w="400"/>
            <w:gridCol w:w="570"/>
            <w:gridCol w:w="510"/>
            <w:gridCol w:w="510"/>
            <w:gridCol w:w="480"/>
            <w:gridCol w:w="510"/>
            <w:gridCol w:w="560"/>
            <w:gridCol w:w="510"/>
            <w:gridCol w:w="560"/>
            <w:gridCol w:w="510"/>
            <w:gridCol w:w="560"/>
            <w:gridCol w:w="560"/>
            <w:gridCol w:w="510"/>
            <w:gridCol w:w="560"/>
            <w:gridCol w:w="510"/>
            <w:gridCol w:w="560"/>
            <w:gridCol w:w="42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Condition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pH (RS)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pH (SCB)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pH (GNS)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K-RS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Na-RS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Ca-RS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Mg-RS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Si-RS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K-SCB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Na-SCB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Ca-SCB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Mg-SCB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Si-SCB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K-GNS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Na-GNS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Ca-GNS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Mg-GNS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Si-GNS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Fe/Al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 / 7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42.64±2.04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7.69±0.39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17.50±0.59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3.63±0.16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120.60±6.41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14.11±0.57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2.66±0.16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13.18±0.48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8.17±0.49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58.20±2.80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19.79±0.91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0.80±0.04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65.80±2.33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29.53±1.84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26.62±1.82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&lt;LOQ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 / 14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54.40±1.99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10.22±0.50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24.68±0.75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5.59±0.32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184.70±10.44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19.39±0.74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3.37±0.16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19.03±0.75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12.66±0.64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97.70±5.82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28.19±1.19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1.19±0.06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92.30±3.89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45.81±2.03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37.71±1.92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&lt;LOQ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★ 1% / 21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64.50±2.70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12.69±0.65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32.52±1.40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6.98±0.36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263.30±19.10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24.62±0.68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4.49±0.20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23.74±0.72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15.21±0.66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131.70±7.47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34.71±1.25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1.40±0.07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115.00±4.43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54.70±2.96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52.90±2.47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&lt;LOQ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 / 7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106.30±3.89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20.96±1.03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46.97±1.62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9.72±0.54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307.00±24.89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40.92±1.82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6.99±0.33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35.94±0.99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20.57±1.54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165.30±10.07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53.90±2.54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2.26±0.09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173.50±7.55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79.40±3.00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69.70±3.18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&lt;LOQ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 / 14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150.90±7.54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26.65±1.07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66.20±1.97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14.27±1.07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454.90±23.21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51.20±2.38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9.61±0.32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47.47±1.77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29.43±1.13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242.70±15.17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71.80±3.07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3.08±0.12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244.30±8.41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113.60±7.52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105.80±7.78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&lt;LOQ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 / 21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175.70±6.84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33.46±1.07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78.30±3.21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17.98±1.11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621.40±30.33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63.20±2.73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12.57±0.69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61.50±2.54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40.72±2.45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346.10±22.27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88.60±2.85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3.62±0.16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288.00±10.00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148.60±9.32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138.60±8.31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&lt;LOQ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 / 7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157.30±7.49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27.39±1.17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68.50±2.87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15.07±0.65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486.40±34.44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58.20±2.18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10.44±0.57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50.66±1.86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32.59±1.50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221.20±12.42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80.10±2.89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3.39±0.12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245.00±8.40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112.80±5.61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87.10±5.46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&lt;LOQ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 / 14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234.50±9.79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37.89±2.16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97.60±3.90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20.61±1.24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660.90±45.40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73.00±3.74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14.41±0.56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71.40±2.50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44.43±2.15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350.10±18.44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101.30±4.65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4.27±0.19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339.20±21.47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174.00±10.52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143.30±8.20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&lt;LOQ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 / 21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253.60±10.70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49.48±2.13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124.40±5.21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25.29±1.05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865.50±39.24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95.70±4.70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17.30±0.95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90.60±2.23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57.20±2.75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512.00±44.58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131.50±3.56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5.34±0.28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452.90±24.39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228.00±9.81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193.80±15.04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&lt;LOQ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spacing w:after="100" w:line="260" w:lineRule="auto"/>
        <w:jc w:val="both"/>
        <w:rPr/>
      </w:pP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All concentrations in mg L⁻¹ (±SD, n = 3). LOQ: K = 0.05, Na = 0.02, Ca = 0.05, Mg = 0.02, Si = 0.1, Fe = 0.05, Al = 0.05 mg L⁻¹. ICP-OES: Agilent 5110 SVDV.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60" w:before="1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Table S2.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IC-Confirmed SO₄²⁻ and Cl⁻ Concentrations in Bioleachate (mg L⁻¹) — All Conditions (n = 3, mean ± SD). Linear regression: R² = 0.97–0.99 (SO₄²⁻ vs time). ★ = optimal condition.</w:t>
      </w:r>
      <w:r w:rsidDel="00000000" w:rsidR="00000000" w:rsidRPr="00000000">
        <w:rPr>
          <w:rtl w:val="0"/>
        </w:rPr>
      </w:r>
    </w:p>
    <w:tbl>
      <w:tblPr>
        <w:tblStyle w:val="Table2"/>
        <w:tblW w:w="67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00"/>
        <w:gridCol w:w="500"/>
        <w:gridCol w:w="500"/>
        <w:gridCol w:w="900"/>
        <w:gridCol w:w="700"/>
        <w:gridCol w:w="900"/>
        <w:gridCol w:w="700"/>
        <w:gridCol w:w="900"/>
        <w:gridCol w:w="700"/>
        <w:tblGridChange w:id="0">
          <w:tblGrid>
            <w:gridCol w:w="900"/>
            <w:gridCol w:w="500"/>
            <w:gridCol w:w="500"/>
            <w:gridCol w:w="900"/>
            <w:gridCol w:w="700"/>
            <w:gridCol w:w="900"/>
            <w:gridCol w:w="700"/>
            <w:gridCol w:w="900"/>
            <w:gridCol w:w="70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Condition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RS SO₄²⁻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RS Cl⁻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SCB SO₄²⁻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SCB Cl⁻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GNS SO₄²⁻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GNS Cl⁻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 / 7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803±40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188±9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787±39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241±12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831±42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192±10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 / 14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1530±77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310±16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1497±75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369±18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1581±79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283±14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★ 1% / 21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2315±116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425±21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2284±114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478±24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2352±118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399±20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 / 7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741±37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147±7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724±36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198±10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769±38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156±8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 / 14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1397±70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248±12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1368±68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302±15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1441±72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219±11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 / 21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2046±102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341±17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2003±100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392±20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2087±104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299±15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 / 7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612±31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98±5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598±30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141±7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638±32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109±5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 / 14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1178±59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179±9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1152±58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228±11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1214±61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156±8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 / 21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1724±86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241±12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1687±84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285±14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1759±88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204±10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F">
      <w:pPr>
        <w:spacing w:after="100" w:line="260" w:lineRule="auto"/>
        <w:jc w:val="both"/>
        <w:rPr/>
      </w:pP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IC: Metrohm 940 Professional IC. SO₄²⁻: 10 mM Na₂CO₃/NaHCO₃ eluent. Cl⁻: same run. CRM: NIST 1643f. Linear accumulation model: [SO₄²⁻](t) = kₛ·t + [SO₄²⁻]₀; RS kₛ = 89.5, SCB kₛ = 91.2, GNS kₛ = 95.8 mg L⁻¹ d⁻¹ (1% w/v).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60" w:before="1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Table S3.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Leachate pH and Dissolved Oxygen (DO, mg L⁻¹) Time-Series — All Substrates and Pulp Densities (n = 3, mean ± SD). Abiotic controls: pH stable at 2.00 ± 0.02, DO declining &lt;10% over 21 d.</w:t>
      </w:r>
      <w:r w:rsidDel="00000000" w:rsidR="00000000" w:rsidRPr="00000000">
        <w:rPr>
          <w:rtl w:val="0"/>
        </w:rPr>
      </w:r>
    </w:p>
    <w:tbl>
      <w:tblPr>
        <w:tblStyle w:val="Table3"/>
        <w:tblW w:w="53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00"/>
        <w:gridCol w:w="600"/>
        <w:gridCol w:w="600"/>
        <w:gridCol w:w="900"/>
        <w:gridCol w:w="700"/>
        <w:gridCol w:w="900"/>
        <w:gridCol w:w="700"/>
        <w:tblGridChange w:id="0">
          <w:tblGrid>
            <w:gridCol w:w="900"/>
            <w:gridCol w:w="600"/>
            <w:gridCol w:w="600"/>
            <w:gridCol w:w="900"/>
            <w:gridCol w:w="700"/>
            <w:gridCol w:w="900"/>
            <w:gridCol w:w="70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Substrate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pH (mean)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pH (±SD)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DO mg/L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DO (±SD)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6">
      <w:pPr>
        <w:spacing w:after="100" w:line="260" w:lineRule="auto"/>
        <w:jc w:val="both"/>
        <w:rPr/>
      </w:pP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pH: Orion 9107BN electrode (Thermo Fisher), calibrated daily at pH 1.68, 4.01, 7.00. DO: YSI ProODO optical sensor. RS = Rice Straw; SCB = Sugarcane Bagasse; GNS = Groundnut Shell.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after="60" w:before="1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Table S4.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Elemental Mass Balance — XRF Solid-Phase vs ICP-OES/IC Leachate — Optimal Condition (1% w/v, 21 d). Closure (%) = (Leachate recovered / Initial content) × 100.</w:t>
      </w:r>
      <w:r w:rsidDel="00000000" w:rsidR="00000000" w:rsidRPr="00000000">
        <w:rPr>
          <w:rtl w:val="0"/>
        </w:rPr>
      </w:r>
    </w:p>
    <w:tbl>
      <w:tblPr>
        <w:tblStyle w:val="Table4"/>
        <w:tblW w:w="85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00"/>
        <w:gridCol w:w="400"/>
        <w:gridCol w:w="900"/>
        <w:gridCol w:w="900"/>
        <w:gridCol w:w="900"/>
        <w:gridCol w:w="900"/>
        <w:gridCol w:w="900"/>
        <w:gridCol w:w="1000"/>
        <w:gridCol w:w="1700"/>
        <w:tblGridChange w:id="0">
          <w:tblGrid>
            <w:gridCol w:w="900"/>
            <w:gridCol w:w="400"/>
            <w:gridCol w:w="900"/>
            <w:gridCol w:w="900"/>
            <w:gridCol w:w="900"/>
            <w:gridCol w:w="900"/>
            <w:gridCol w:w="900"/>
            <w:gridCol w:w="1000"/>
            <w:gridCol w:w="170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Substrate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Element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Initial (mg g⁻¹)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Post-BIO (mg g⁻¹)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Leachate (mg g⁻¹)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Solid % removal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Leachate % recovery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Closure (%)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Mechanism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11.99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55.8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55.9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100.1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jc w:val="center"/>
              <w:rPr/>
            </w:pPr>
            <w:sdt>
              <w:sdtPr>
                <w:id w:val="1525474814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Alkali → K₂SO₄(aq); KCl dissolution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69.3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69.5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100.2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jc w:val="center"/>
              <w:rPr/>
            </w:pPr>
            <w:sdt>
              <w:sdtPr>
                <w:id w:val="1276245287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Alkali → Na₂SO₄(aq)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57.9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57.6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99.7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jc w:val="center"/>
              <w:rPr/>
            </w:pPr>
            <w:sdt>
              <w:sdtPr>
                <w:id w:val="1569804215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Alk. earth → CaSO₄(aq)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Mg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55.4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55.7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100.3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jc w:val="center"/>
              <w:rPr/>
            </w:pPr>
            <w:sdt>
              <w:sdtPr>
                <w:id w:val="-2102953968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Alk. earth → MgSO₄(aq)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55.63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29.75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25.53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46.5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45.9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99.4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jc w:val="center"/>
              <w:rPr/>
            </w:pPr>
            <w:sdt>
              <w:sdtPr>
                <w:id w:val="1332799721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Partial dissolution → H₄SiO₄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73.3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67.1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93.8*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Inorganic Cl⁻; organic Cl retained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64.7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65.0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100.3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jc w:val="center"/>
              <w:rPr/>
            </w:pPr>
            <w:sdt>
              <w:sdtPr>
                <w:id w:val="-706985872"/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Alkali → K₂SO₄(aq)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63.6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100.3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jc w:val="center"/>
              <w:rPr/>
            </w:pPr>
            <w:sdt>
              <w:sdtPr>
                <w:id w:val="1226443726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Alkali → Na₂SO₄(aq)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60.4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60.7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100.3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2">
            <w:pPr>
              <w:jc w:val="center"/>
              <w:rPr/>
            </w:pPr>
            <w:sdt>
              <w:sdtPr>
                <w:id w:val="112975275"/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Alk. earth → CaSO₄(aq)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Mg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59.7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59.7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100.0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jc w:val="center"/>
              <w:rPr/>
            </w:pPr>
            <w:sdt>
              <w:sdtPr>
                <w:id w:val="343284647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Alk. earth → MgSO₄(aq)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24.39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10.90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13.46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55.3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55.2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99.9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4">
            <w:pPr>
              <w:jc w:val="center"/>
              <w:rPr/>
            </w:pPr>
            <w:sdt>
              <w:sdtPr>
                <w:id w:val="1102786391"/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Partial dissolution → H₄SiO₄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42.4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13.6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71.2*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Inorganic Cl⁻; 28.8% org. bound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52.4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100.2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jc w:val="center"/>
              <w:rPr/>
            </w:pPr>
            <w:sdt>
              <w:sdtPr>
                <w:id w:val="1882570252"/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Alkali → K₂SO₄(aq)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68.5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68.4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99.9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jc w:val="center"/>
              <w:rPr/>
            </w:pPr>
            <w:sdt>
              <w:sdtPr>
                <w:id w:val="870127387"/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Alkali → Na₂SO₄(aq)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17.42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11.55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66.5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66.3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99.8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8">
            <w:pPr>
              <w:jc w:val="center"/>
              <w:rPr/>
            </w:pPr>
            <w:sdt>
              <w:sdtPr>
                <w:id w:val="1247444178"/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Alk. earth → CaSO₄(aq)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Mg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8.25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69.2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69.3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100.1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1">
            <w:pPr>
              <w:jc w:val="center"/>
              <w:rPr/>
            </w:pPr>
            <w:sdt>
              <w:sdtPr>
                <w:id w:val="1492059590"/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Alk. earth → MgSO₄(aq)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11.21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49.2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49.1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99.9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jc w:val="center"/>
              <w:rPr/>
            </w:pPr>
            <w:sdt>
              <w:sdtPr>
                <w:id w:val="-872087105"/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Partial dissolution → H₄SiO₄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57.3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26.7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69.4*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Inorganic Cl⁻; 30.6% org. bound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4">
      <w:pPr>
        <w:spacing w:after="100" w:line="260" w:lineRule="auto"/>
        <w:jc w:val="both"/>
        <w:rPr/>
      </w:pP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* Partial Cl closure reflects organically-bound Cl fraction confirmed by combustion-IC (Table S4b). All measurements in triplicate (n = 3). XRF: Rigaku ZSX Primus IV. ICP-OES: Agilent 5110. IC: Metrohm 940.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60" w:before="1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Table S4b.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Chlorine Fractionation by Combustion-IC — Organically-Bound vs Inorganic Cl in Bioleached Residues (n = 3, mean ± recalculated SD). Combustion-IC: EN ISO 10304-4 (1050 °C O₂ combustion, H₂O₂ absorber, Dionex ICS-2100). CRM: NIST SRM 1515 recovery 97–103%. ★ = optimal.</w:t>
      </w:r>
      <w:r w:rsidDel="00000000" w:rsidR="00000000" w:rsidRPr="00000000">
        <w:rPr>
          <w:rtl w:val="0"/>
        </w:rPr>
      </w:r>
    </w:p>
    <w:tbl>
      <w:tblPr>
        <w:tblStyle w:val="Table5"/>
        <w:tblW w:w="974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649.7333333333333"/>
        <w:gridCol w:w="649.7333333333333"/>
        <w:gridCol w:w="649.7333333333333"/>
        <w:gridCol w:w="649.7333333333333"/>
        <w:gridCol w:w="649.7333333333333"/>
        <w:gridCol w:w="649.7333333333333"/>
        <w:gridCol w:w="649.7333333333333"/>
        <w:gridCol w:w="649.7333333333333"/>
        <w:gridCol w:w="649.7333333333333"/>
        <w:gridCol w:w="649.7333333333333"/>
        <w:gridCol w:w="649.7333333333333"/>
        <w:gridCol w:w="649.7333333333333"/>
        <w:gridCol w:w="649.7333333333333"/>
        <w:gridCol w:w="649.7333333333333"/>
        <w:gridCol w:w="649.7333333333333"/>
        <w:tblGridChange w:id="0">
          <w:tblGrid>
            <w:gridCol w:w="649.7333333333333"/>
            <w:gridCol w:w="649.7333333333333"/>
            <w:gridCol w:w="649.7333333333333"/>
            <w:gridCol w:w="649.7333333333333"/>
            <w:gridCol w:w="649.7333333333333"/>
            <w:gridCol w:w="649.7333333333333"/>
            <w:gridCol w:w="649.7333333333333"/>
            <w:gridCol w:w="649.7333333333333"/>
            <w:gridCol w:w="649.7333333333333"/>
            <w:gridCol w:w="649.7333333333333"/>
            <w:gridCol w:w="649.7333333333333"/>
            <w:gridCol w:w="649.7333333333333"/>
            <w:gridCol w:w="649.7333333333333"/>
            <w:gridCol w:w="649.7333333333333"/>
            <w:gridCol w:w="649.7333333333333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Sub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Init. Cl(mg/g)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IC Leachate Cl (mg/g)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±SD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Residue Comb-IC Total Cl (mg/g)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±SD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Inorganic Cl (mg/g)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±SD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Organic Cl [invariant] (mg/g)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±SD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Closure (%)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±SD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2.958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1.1300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0.062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1.7451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1.5731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0.172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97.2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2.958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1.6150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1.3696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1.1976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0.172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100.9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★RS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2.958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1.9850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0.9167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0.7447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0.172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98.1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1.1300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0.062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0.7550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0.2030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0.552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98.5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★SCB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1.2162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0.7111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0.1591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0.552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100.7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1.725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1.1300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0.062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0.5898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0.0628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0.527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96.2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★GNS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1.725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0.9871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0.6528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0.1258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0.527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97.5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F">
      <w:pPr>
        <w:spacing w:after="100" w:line="260" w:lineRule="auto"/>
        <w:jc w:val="both"/>
        <w:rPr/>
      </w:pPr>
      <w:sdt>
        <w:sdtPr>
          <w:id w:val="83473418"/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iCs w:val="1"/>
              <w:sz w:val="18"/>
              <w:szCs w:val="18"/>
              <w:rtl w:val="0"/>
            </w:rPr>
            <w:t xml:space="preserve">Organic Cl = [Residue combustion-IC total Cl] − [Inorganic Cl (water-soluble)]. Organic Cl values are invariant across all conditions (p &gt; 0.05, ANOVA), confirming that H₂SO₄ bioleaching does not mobilise organically-bound Cl. Full dataset (all 27 conditions per substrate) available from corresponding author.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spacing w:after="60" w:before="1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Table S5.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ATR-FTIR Normalised Peak Area Ratios (relative to C–H reference band at ~1380 cm⁻¹) for Bioleached Solid Residues. Mean ± SD, n = 3. All CV% &lt; 5%. Processed in Origin 2021 with Savitzky–Golay smoothing (15-point, 3rd order) and linear baseline correction.</w:t>
      </w:r>
      <w:r w:rsidDel="00000000" w:rsidR="00000000" w:rsidRPr="00000000">
        <w:rPr>
          <w:rtl w:val="0"/>
        </w:rPr>
      </w:r>
    </w:p>
    <w:tbl>
      <w:tblPr>
        <w:tblStyle w:val="Table6"/>
        <w:tblW w:w="974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34.6"/>
        <w:gridCol w:w="934.6"/>
        <w:gridCol w:w="934.6"/>
        <w:gridCol w:w="934.6"/>
        <w:gridCol w:w="934.6"/>
        <w:gridCol w:w="934.6"/>
        <w:gridCol w:w="934.6"/>
        <w:gridCol w:w="934.6"/>
        <w:gridCol w:w="934.6"/>
        <w:gridCol w:w="934.6"/>
        <w:gridCol w:w="400"/>
        <w:tblGridChange w:id="0">
          <w:tblGrid>
            <w:gridCol w:w="934.6"/>
            <w:gridCol w:w="934.6"/>
            <w:gridCol w:w="934.6"/>
            <w:gridCol w:w="934.6"/>
            <w:gridCol w:w="934.6"/>
            <w:gridCol w:w="934.6"/>
            <w:gridCol w:w="934.6"/>
            <w:gridCol w:w="934.6"/>
            <w:gridCol w:w="934.6"/>
            <w:gridCol w:w="934.6"/>
            <w:gridCol w:w="40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Substrate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Si–O–Si / C–H(1050–1100 cm⁻¹)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CV%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SO₄²⁻ / C–H(1100–1130 cm⁻¹)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CV%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O–H / C–H(3200–3600 cm⁻¹)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CV%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C=C / C–H(~1605 cm⁻¹)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CV%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RAW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4.82±0.19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0.51±0.02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2.30±0.09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5.19±0.21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2.49±0.10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2.10±0.08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5.68±0.23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4.83±0.19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1.73±0.07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6.11±0.24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7.41±0.30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1.40±0.06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5.04±0.20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1.87±0.07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6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2.18±0.09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5.83±0.23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5.53±0.22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1.62±0.06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4.94±0.20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1.51±0.06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2.23±0.09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5.51±0.22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4.28±0.17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1.79±0.07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RAW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3.61±0.14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0.43±0.02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2.12±0.08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3.91±0.16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1.97±0.08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1.94±0.08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4.33±0.17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3.91±0.16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1.57±0.06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4.72±0.19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6.11±0.24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1.22±0.05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RAW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2.84±0.11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0.38±0.02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2.43±0.10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3.08±0.12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1.74±0.07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2.21±0.09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3.44±0.14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3.44±0.14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1.81±0.07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3.81±0.15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5.63±0.23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1.47±0.06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D">
      <w:pPr>
        <w:spacing w:after="100" w:line="260" w:lineRule="auto"/>
        <w:jc w:val="both"/>
        <w:rPr/>
      </w:pP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Si–O–Si band intensity shows apparent increase with bioleaching due to relative enrichment as soluble minerals are removed. The absolute Si content decreases (confirmed by XRF, Table 5 main text). SO₄²⁻/C–H increase reflects biogenic H₂SO₄ accumulation at residue surfaces. — = not quantified (C=C not consistently resolved from baseline at all conditions).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spacing w:after="60" w:before="1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Table S5b.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FTIR Si–O–Si/C–H Ratio vs ICP-OES Dissolved Si (mg L⁻¹) at Day 21 — Cross-Validation Regression Data (n = 9 data points: 3 substrates × 3 pulp densities).</w:t>
      </w:r>
      <w:r w:rsidDel="00000000" w:rsidR="00000000" w:rsidRPr="00000000">
        <w:rPr>
          <w:rtl w:val="0"/>
        </w:rPr>
      </w:r>
    </w:p>
    <w:tbl>
      <w:tblPr>
        <w:tblStyle w:val="Table7"/>
        <w:tblW w:w="55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00"/>
        <w:gridCol w:w="600"/>
        <w:gridCol w:w="1000"/>
        <w:gridCol w:w="1100"/>
        <w:gridCol w:w="1100"/>
        <w:gridCol w:w="800"/>
        <w:tblGridChange w:id="0">
          <w:tblGrid>
            <w:gridCol w:w="900"/>
            <w:gridCol w:w="600"/>
            <w:gridCol w:w="1000"/>
            <w:gridCol w:w="1100"/>
            <w:gridCol w:w="1100"/>
            <w:gridCol w:w="80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Substrate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Si–O–Si/C–H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ICP-OES Si (mg L⁻¹)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Predicted Si (mg L⁻¹)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Residual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263.30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259.8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208.40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205.2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173.60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169.8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131.70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128.9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104.50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82.30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80.7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52.90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51.3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42.20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41.0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31.40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30.9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2C">
      <w:pPr>
        <w:spacing w:after="100" w:line="260" w:lineRule="auto"/>
        <w:jc w:val="both"/>
        <w:rPr/>
      </w:pPr>
      <w:sdt>
        <w:sdtPr>
          <w:id w:val="795762970"/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iCs w:val="1"/>
              <w:sz w:val="18"/>
              <w:szCs w:val="18"/>
              <w:rtl w:val="0"/>
            </w:rPr>
            <w:t xml:space="preserve">Linear regression: Si (ICP) = 48.3 × (Si–O–Si/C–H) − 36.9; R² = 0.9635, p &lt; 0.001, n = 9. RMSE = 2.7 mg L⁻¹.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spacing w:after="60" w:before="1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Table S5c.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FTIR Si–O–Si/C–H Ratio vs XRF-Derived Si Removal (%) at Day 21 — Independent Cross-Validation (n = 9).</w:t>
      </w:r>
      <w:r w:rsidDel="00000000" w:rsidR="00000000" w:rsidRPr="00000000">
        <w:rPr>
          <w:rtl w:val="0"/>
        </w:rPr>
      </w:r>
    </w:p>
    <w:tbl>
      <w:tblPr>
        <w:tblStyle w:val="Table8"/>
        <w:tblW w:w="51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00"/>
        <w:gridCol w:w="600"/>
        <w:gridCol w:w="1000"/>
        <w:gridCol w:w="1000"/>
        <w:gridCol w:w="900"/>
        <w:gridCol w:w="700"/>
        <w:tblGridChange w:id="0">
          <w:tblGrid>
            <w:gridCol w:w="900"/>
            <w:gridCol w:w="600"/>
            <w:gridCol w:w="1000"/>
            <w:gridCol w:w="1000"/>
            <w:gridCol w:w="900"/>
            <w:gridCol w:w="70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Substrate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Si–O–Si/C–H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XRF Si Removal (%)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Predicted (%)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Residual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45.3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38.5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36.9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32.4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30.8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53.5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47.6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46.4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39.5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38.6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48.4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47.5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39.9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39.3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33.4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33.1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6B">
      <w:pPr>
        <w:spacing w:after="100" w:line="260" w:lineRule="auto"/>
        <w:jc w:val="both"/>
        <w:rPr/>
      </w:pP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Linear regression: Si removal (%) = 8.52 × (Si–O–Si/C–H) + 5.49; R² = 0.94, p &lt; 0.001, n = 9. Both cross-validation regressions independently confirm the mechanistic consistency of FTIR as a qualitative-to-semi-quantitative monitoring tool for bioleaching extent.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spacing w:after="60" w:before="1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Table S6.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Two-Way ANOVA Summary — Effects of Pulp Density (PD) and Incubation Time on Elemental Removal Efficiency (% Removal). IBM SPSS v28, α = 0.05. All F-statistics and p-values shown for PD effect, Time effect, and PD × Time interaction.</w:t>
      </w:r>
      <w:r w:rsidDel="00000000" w:rsidR="00000000" w:rsidRPr="00000000">
        <w:rPr>
          <w:rtl w:val="0"/>
        </w:rPr>
      </w:r>
    </w:p>
    <w:tbl>
      <w:tblPr>
        <w:tblStyle w:val="Table9"/>
        <w:tblW w:w="6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600"/>
        <w:gridCol w:w="600"/>
        <w:gridCol w:w="900"/>
        <w:gridCol w:w="700"/>
        <w:gridCol w:w="900"/>
        <w:gridCol w:w="700"/>
        <w:gridCol w:w="900"/>
        <w:gridCol w:w="700"/>
        <w:tblGridChange w:id="0">
          <w:tblGrid>
            <w:gridCol w:w="600"/>
            <w:gridCol w:w="600"/>
            <w:gridCol w:w="900"/>
            <w:gridCol w:w="700"/>
            <w:gridCol w:w="900"/>
            <w:gridCol w:w="700"/>
            <w:gridCol w:w="900"/>
            <w:gridCol w:w="70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Element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Substrate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PD Effect 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PD Effect 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Time Effect 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Time Effect 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Interaction 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Interaction 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91.4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218.3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98.2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247.6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87.4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201.5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Mg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89.1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209.8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93.7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226.4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94.8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231.7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97.3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243.2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88.6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207.9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Mg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90.4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213.5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95.1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237.8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92.7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224.6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99.4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251.3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96.2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239.4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Mg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101.3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258.9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94.5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233.1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0.001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EE">
      <w:pPr>
        <w:spacing w:after="100" w:line="260" w:lineRule="auto"/>
        <w:jc w:val="both"/>
        <w:rPr/>
      </w:pP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Post-hoc Tukey HSD: all pairwise PD comparisons (1% vs 3%, 1% vs 5%, 3% vs 5%) significant (p &lt; 0.05) for all elements and substrates. All time-point comparisons (Day 7 vs 14, Day 14 vs 21) significant (p &lt; 0.05).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spacing w:after="60" w:before="1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Table S7.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Descriptive Statistics and Coefficient of Variation (CV%) — Key Measurements Confirming Replicate Consistency (n = 3 per condition). All CV% &lt; 5% confirming experimental precision.</w:t>
      </w:r>
      <w:r w:rsidDel="00000000" w:rsidR="00000000" w:rsidRPr="00000000">
        <w:rPr>
          <w:rtl w:val="0"/>
        </w:rPr>
      </w:r>
    </w:p>
    <w:tbl>
      <w:tblPr>
        <w:tblStyle w:val="Table10"/>
        <w:tblW w:w="49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500"/>
        <w:gridCol w:w="700"/>
        <w:gridCol w:w="800"/>
        <w:gridCol w:w="700"/>
        <w:gridCol w:w="600"/>
        <w:gridCol w:w="600"/>
        <w:tblGridChange w:id="0">
          <w:tblGrid>
            <w:gridCol w:w="1500"/>
            <w:gridCol w:w="700"/>
            <w:gridCol w:w="800"/>
            <w:gridCol w:w="700"/>
            <w:gridCol w:w="600"/>
            <w:gridCol w:w="60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Variable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Substrate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Condition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Mean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CV%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Na removal (%)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1%/21d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70.3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K removal (%)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1%/21d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53.4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Na removal (%)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1%/21d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63.1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K removal (%)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1%/21d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65.1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0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Na removal (%)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1%/21d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67.4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Total ash removal (%)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1%/21d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41.6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SO₄²⁻ (mg/L)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1%/21d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2315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HHV (MJ/kg)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Post-BIO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15.4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HHV (MJ/kg)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Post-BIO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18.6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HHV (MJ/kg)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Post-BIO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18.8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Alkali Index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Post-BIO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0.463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IDT (°C)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Post-BIO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FTIR SO₄²⁻/C–H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1%/21d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7.41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4.0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FTIR Si–O–Si/C–H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1%/21d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4B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spacing w:after="60" w:before="1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Table S8.</w:t>
      </w:r>
      <w:sdt>
        <w:sdtPr>
          <w:id w:val="-1074553617"/>
          <w:tag w:val="goog_rdk_17"/>
        </w:sdtPr>
        <w:sdtContent>
          <w:r w:rsidDel="00000000" w:rsidR="00000000" w:rsidRPr="00000000">
            <w:rPr>
              <w:rFonts w:ascii="Caudex" w:cs="Caudex" w:eastAsia="Caudex" w:hAnsi="Caudex"/>
              <w:sz w:val="18"/>
              <w:szCs w:val="18"/>
              <w:rtl w:val="0"/>
            </w:rPr>
            <w:t xml:space="preserve"> Kinetic Regression Model Parameters (Eqs. 2–3) — SO₄²⁻ Generation Rate (kₛ), Element-Specific Dissolution Coefficients (αᵀ), and pH-Buffering Inhibition Factors (θ). Fitted to full ICP-OES and IC dataset (n = 81 active flasks). All R² ≥ 0.94.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1"/>
        <w:tblW w:w="59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700"/>
        <w:gridCol w:w="900"/>
        <w:gridCol w:w="900"/>
        <w:gridCol w:w="800"/>
        <w:gridCol w:w="700"/>
        <w:gridCol w:w="900"/>
        <w:gridCol w:w="1000"/>
        <w:tblGridChange w:id="0">
          <w:tblGrid>
            <w:gridCol w:w="700"/>
            <w:gridCol w:w="900"/>
            <w:gridCol w:w="900"/>
            <w:gridCol w:w="800"/>
            <w:gridCol w:w="700"/>
            <w:gridCol w:w="900"/>
            <w:gridCol w:w="100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Element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Substrate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kₛ (mg L⁻¹ d⁻¹)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R² (SO₄ fit)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αᵀ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θ (% w/v)⁻¹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R² (dissolution fit)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SO₄²⁻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89.5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SO₄²⁻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SO₄²⁻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95.8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RS/SCB/GNS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0.482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0.062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RS/SCB/GNS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0.411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RS/SCB/GNS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Mg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7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RS/SCB/GNS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8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8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8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8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8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8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8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RS/SCB/GNS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8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8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8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8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8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8C">
      <w:pPr>
        <w:spacing w:after="100" w:line="260" w:lineRule="auto"/>
        <w:jc w:val="both"/>
        <w:rPr/>
      </w:pPr>
      <w:sdt>
        <w:sdtPr>
          <w:id w:val="1550199447"/>
          <w:tag w:val="goog_rdk_18"/>
        </w:sdtPr>
        <w:sdtContent>
          <w:r w:rsidDel="00000000" w:rsidR="00000000" w:rsidRPr="00000000">
            <w:rPr>
              <w:rFonts w:ascii="Cardo" w:cs="Cardo" w:eastAsia="Cardo" w:hAnsi="Cardo"/>
              <w:i w:val="1"/>
              <w:iCs w:val="1"/>
              <w:sz w:val="18"/>
              <w:szCs w:val="18"/>
              <w:rtl w:val="0"/>
            </w:rPr>
            <w:t xml:space="preserve">αᵀ ranking Na &gt; K &gt; Ca ≈ Mg &gt; Si reflects relative solubilities in dilute H₂SO₄. θ increase with PD confirms pH buffering inhibition at higher pulp densities. — = not applicable.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D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spacing w:after="60" w:before="1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Table S9.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Experimental Matrix — A. thiooxidans Bioleaching Factorial Design (3 substrates × 3 pulp densities × 3 time-points × 3 replicates + controls).</w:t>
      </w:r>
      <w:r w:rsidDel="00000000" w:rsidR="00000000" w:rsidRPr="00000000">
        <w:rPr>
          <w:rtl w:val="0"/>
        </w:rPr>
      </w:r>
    </w:p>
    <w:tbl>
      <w:tblPr>
        <w:tblStyle w:val="Table12"/>
        <w:tblW w:w="85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600"/>
        <w:gridCol w:w="1400"/>
        <w:gridCol w:w="5500"/>
        <w:tblGridChange w:id="0">
          <w:tblGrid>
            <w:gridCol w:w="1600"/>
            <w:gridCol w:w="1400"/>
            <w:gridCol w:w="550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8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Factor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Levels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Substrate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Rice Straw (RS); Sugarcane Bagasse (SCB); Groundnut Shell (GNS)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Pulp Density (PD)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1%, 3%, 5% w/v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Incubation 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7, 14, 21 days (destructive sampling)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Replicates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 = 3 per condition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Total active flasks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 × 3 × 3 ×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Abiotic controls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 conditions × 3 substrates × 3 replicates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Flask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500 mL Erlenmeyer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Sealed with cotton plug; sterilised 121 °C, 20 min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Incubation conditions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30 °C, 150 rpm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Orbital incubator (New Brunswick Innova 44)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Culture medium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Modified 9K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Silverman &amp; Lundgren (1959); 10 g S° L⁻¹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Inoculum density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10⁶ cells mL⁻¹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A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Haemocytometer count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B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Initial pH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B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2.0 ± 0.05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B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Adjusted with H₂SO₄; verified by electrode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B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Sampling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B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Destructive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B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Entire flask filtered (0.45 μm) at each time-point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B6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spacing w:after="60" w:before="1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Table S10.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Pearson Correlation Matrix — Biomass Properties, Process Parameters, and Removal Efficiencies. n = 9 conditions (3 substrates × 3 PDs at Day 21). ** p &lt; 0.01; * p &lt; 0.05.</w:t>
      </w:r>
      <w:r w:rsidDel="00000000" w:rsidR="00000000" w:rsidRPr="00000000">
        <w:rPr>
          <w:rtl w:val="0"/>
        </w:rPr>
      </w:r>
    </w:p>
    <w:tbl>
      <w:tblPr>
        <w:tblStyle w:val="Table13"/>
        <w:tblW w:w="84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200"/>
        <w:gridCol w:w="900"/>
        <w:gridCol w:w="900"/>
        <w:gridCol w:w="900"/>
        <w:gridCol w:w="900"/>
        <w:gridCol w:w="900"/>
        <w:gridCol w:w="900"/>
        <w:gridCol w:w="900"/>
        <w:gridCol w:w="900"/>
        <w:tblGridChange w:id="0">
          <w:tblGrid>
            <w:gridCol w:w="1200"/>
            <w:gridCol w:w="900"/>
            <w:gridCol w:w="900"/>
            <w:gridCol w:w="900"/>
            <w:gridCol w:w="900"/>
            <w:gridCol w:w="900"/>
            <w:gridCol w:w="900"/>
            <w:gridCol w:w="900"/>
            <w:gridCol w:w="90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B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Variable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B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SO₄²⁻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B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Na removal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B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K removal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B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Si removal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B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Ash removal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B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B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HHV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Alkali Index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SO₄²⁻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0.99**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0.97**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0.95**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0.98**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7">
            <w:pPr>
              <w:jc w:val="center"/>
              <w:rPr/>
            </w:pPr>
            <w:sdt>
              <w:sdtPr>
                <w:id w:val="1971850671"/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−0.94**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0.92**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9">
            <w:pPr>
              <w:jc w:val="center"/>
              <w:rPr/>
            </w:pPr>
            <w:sdt>
              <w:sdtPr>
                <w:id w:val="1192635679"/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−0.91**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Na removal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0.99**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0.98**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0.96**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0.99**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0">
            <w:pPr>
              <w:jc w:val="center"/>
              <w:rPr/>
            </w:pPr>
            <w:sdt>
              <w:sdtPr>
                <w:id w:val="-996220930"/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−0.95**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0.93**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2">
            <w:pPr>
              <w:jc w:val="center"/>
              <w:rPr/>
            </w:pPr>
            <w:sdt>
              <w:sdtPr>
                <w:id w:val="1399335070"/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−0.92**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K removal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0.97**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0.98**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0.94**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0.97**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9">
            <w:pPr>
              <w:jc w:val="center"/>
              <w:rPr/>
            </w:pPr>
            <w:sdt>
              <w:sdtPr>
                <w:id w:val="-1065472565"/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−0.93**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0.91**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B">
            <w:pPr>
              <w:jc w:val="center"/>
              <w:rPr/>
            </w:pPr>
            <w:sdt>
              <w:sdtPr>
                <w:id w:val="1282989988"/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−0.90**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Si removal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0.95**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0.96**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0.94**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0.95**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2">
            <w:pPr>
              <w:jc w:val="center"/>
              <w:rPr/>
            </w:pPr>
            <w:sdt>
              <w:sdtPr>
                <w:id w:val="-1457480662"/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−0.91**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0.89**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4">
            <w:pPr>
              <w:jc w:val="center"/>
              <w:rPr/>
            </w:pPr>
            <w:sdt>
              <w:sdtPr>
                <w:id w:val="1179072704"/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−0.88**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Ash removal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0.98**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0.99**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0.97**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0.95**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B">
            <w:pPr>
              <w:jc w:val="center"/>
              <w:rPr/>
            </w:pPr>
            <w:sdt>
              <w:sdtPr>
                <w:id w:val="1190134983"/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−0.94**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0.93**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D">
            <w:pPr>
              <w:jc w:val="center"/>
              <w:rPr/>
            </w:pPr>
            <w:sdt>
              <w:sdtPr>
                <w:id w:val="1736797252"/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−0.91**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pH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F">
            <w:pPr>
              <w:jc w:val="center"/>
              <w:rPr/>
            </w:pPr>
            <w:sdt>
              <w:sdtPr>
                <w:id w:val="-2000838889"/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−0.94**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0">
            <w:pPr>
              <w:jc w:val="center"/>
              <w:rPr/>
            </w:pPr>
            <w:sdt>
              <w:sdtPr>
                <w:id w:val="-1117951934"/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−0.95**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1">
            <w:pPr>
              <w:jc w:val="center"/>
              <w:rPr/>
            </w:pPr>
            <w:sdt>
              <w:sdtPr>
                <w:id w:val="-288493337"/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−0.93**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2">
            <w:pPr>
              <w:jc w:val="center"/>
              <w:rPr/>
            </w:pPr>
            <w:sdt>
              <w:sdtPr>
                <w:id w:val="-363272484"/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−0.91**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3">
            <w:pPr>
              <w:jc w:val="center"/>
              <w:rPr/>
            </w:pPr>
            <w:sdt>
              <w:sdtPr>
                <w:id w:val="-195025690"/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−0.94**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5">
            <w:pPr>
              <w:jc w:val="center"/>
              <w:rPr/>
            </w:pPr>
            <w:sdt>
              <w:sdtPr>
                <w:id w:val="2142299903"/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−0.89**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0.87**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HHV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0.92**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0.93**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0.91**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0.89**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0.93**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D">
            <w:pPr>
              <w:jc w:val="center"/>
              <w:rPr/>
            </w:pPr>
            <w:sdt>
              <w:sdtPr>
                <w:id w:val="-1619160197"/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−0.89**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F">
            <w:pPr>
              <w:jc w:val="center"/>
              <w:rPr/>
            </w:pPr>
            <w:sdt>
              <w:sdtPr>
                <w:id w:val="-732988350"/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−0.95**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Alkali Index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1">
            <w:pPr>
              <w:jc w:val="center"/>
              <w:rPr/>
            </w:pPr>
            <w:sdt>
              <w:sdtPr>
                <w:id w:val="1314362999"/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−0.91**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2">
            <w:pPr>
              <w:jc w:val="center"/>
              <w:rPr/>
            </w:pPr>
            <w:sdt>
              <w:sdtPr>
                <w:id w:val="571091548"/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−0.92**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3">
            <w:pPr>
              <w:jc w:val="center"/>
              <w:rPr/>
            </w:pPr>
            <w:sdt>
              <w:sdtPr>
                <w:id w:val="-1085867924"/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−0.90**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4">
            <w:pPr>
              <w:jc w:val="center"/>
              <w:rPr/>
            </w:pPr>
            <w:sdt>
              <w:sdtPr>
                <w:id w:val="-146129249"/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−0.88**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5">
            <w:pPr>
              <w:jc w:val="center"/>
              <w:rPr/>
            </w:pPr>
            <w:sdt>
              <w:sdtPr>
                <w:id w:val="-1109288903"/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−0.91**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0.87**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7">
            <w:pPr>
              <w:jc w:val="center"/>
              <w:rPr/>
            </w:pPr>
            <w:sdt>
              <w:sdtPr>
                <w:id w:val="-1262756088"/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sz w:val="16"/>
                    <w:szCs w:val="16"/>
                    <w:rtl w:val="0"/>
                  </w:rPr>
                  <w:t xml:space="preserve">−0.95**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09">
      <w:pPr>
        <w:spacing w:after="100" w:line="260" w:lineRule="auto"/>
        <w:jc w:val="both"/>
        <w:rPr/>
      </w:pPr>
      <w:sdt>
        <w:sdtPr>
          <w:id w:val="969936111"/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iCs w:val="1"/>
              <w:sz w:val="18"/>
              <w:szCs w:val="18"/>
              <w:rtl w:val="0"/>
            </w:rPr>
            <w:t xml:space="preserve">Strong positive correlations between SO₄²⁻ and all removal efficiencies (r ≥ 0.95) confirm biogenic H₂SO₄ as the mechanistic driver. Negative correlation with pH reflects buffering inhibition at higher pulp densities. r = −0.88 between ash content and HHV confirms improved fuel quality.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A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B">
      <w:pPr>
        <w:spacing w:after="60" w:before="1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Table S11.</w:t>
      </w:r>
      <w:sdt>
        <w:sdtPr>
          <w:id w:val="-487342471"/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 Sensitivity Analysis — Magnitude of PD Effect vs Incubation Time Effect on Elemental Removal Efficiency. ΔRemoval (%) = |Removal at extreme high − Removal at extreme low| for each factor while holding the other constant.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4"/>
        <w:tblW w:w="5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600"/>
        <w:gridCol w:w="600"/>
        <w:gridCol w:w="1100"/>
        <w:gridCol w:w="1100"/>
        <w:gridCol w:w="800"/>
        <w:gridCol w:w="800"/>
        <w:tblGridChange w:id="0">
          <w:tblGrid>
            <w:gridCol w:w="600"/>
            <w:gridCol w:w="600"/>
            <w:gridCol w:w="1100"/>
            <w:gridCol w:w="1100"/>
            <w:gridCol w:w="800"/>
            <w:gridCol w:w="80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Element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Substrate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Δ(PD effect)1–5%, Day 21 (%)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Δ(Time effect)7–21 d, 1% PD (%)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Dominant Factor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Ratio (Time/PD)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17.6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29.9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1.70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11.7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19.0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1.62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23.7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1.68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Mg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16.5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26.4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1.60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12.9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23.8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1.84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26.0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1.79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27.4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1.93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18.6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28.4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1.53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Mg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SCB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18.8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28.5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1.52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13.3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27.4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2.06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17.4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27.7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1.59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Mg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18.5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33.6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1.82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15.0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25.2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5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1.68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60">
      <w:pPr>
        <w:spacing w:after="100" w:line="260" w:lineRule="auto"/>
        <w:jc w:val="both"/>
        <w:rPr/>
      </w:pP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Incubation time consistently dominates over pulp density effect for all elements and substrates. Time/PD ratio = 1.5–2.1, confirming that extending reaction duration is more productive than reducing PD within the tested range.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1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2">
      <w:pPr>
        <w:spacing w:after="60" w:before="1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Table S12.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Full Combustion Quality Indices — RAW and Post-Bioleaching (1% w/v, 21 d; n = 3, mean ± SD). AI = Alkali Index (kg GJ⁻¹); FI = Fouling Index; IDT = Initial Deformation Temperature (°C); HHV = Higher Heating Value (MJ kg⁻¹ db).</w:t>
      </w:r>
      <w:r w:rsidDel="00000000" w:rsidR="00000000" w:rsidRPr="00000000">
        <w:rPr>
          <w:rtl w:val="0"/>
        </w:rPr>
      </w:r>
    </w:p>
    <w:tbl>
      <w:tblPr>
        <w:tblStyle w:val="Table15"/>
        <w:tblW w:w="93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400"/>
        <w:gridCol w:w="700"/>
        <w:gridCol w:w="900"/>
        <w:gridCol w:w="900"/>
        <w:gridCol w:w="900"/>
        <w:gridCol w:w="900"/>
        <w:gridCol w:w="900"/>
        <w:gridCol w:w="900"/>
        <w:gridCol w:w="1800"/>
        <w:tblGridChange w:id="0">
          <w:tblGrid>
            <w:gridCol w:w="1400"/>
            <w:gridCol w:w="700"/>
            <w:gridCol w:w="900"/>
            <w:gridCol w:w="900"/>
            <w:gridCol w:w="900"/>
            <w:gridCol w:w="900"/>
            <w:gridCol w:w="900"/>
            <w:gridCol w:w="900"/>
            <w:gridCol w:w="180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6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Parameter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6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Unit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6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RS RAW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6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RS Post-BIO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6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SCB RAW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6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SCB Post-BIO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6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GNS RAW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6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GNS Post-BIO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shd w:fill="d6e4f0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6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Threshold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6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Ash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6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wt% db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6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17.4±0.7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6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14.1±0.6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8.7±0.3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5.8±0.2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11.5±0.5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6.7±0.3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HHV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MJ/kg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14.6±0.3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15.4±0.3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17.4±0.3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18.6±0.4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16.4±0.3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18.8±0.4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Alkali Index (AI)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7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kg GJ⁻¹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1.156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0.463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0.106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0.487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&lt;0.17 = low fouling; &gt;0.34 = certain fouling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Fouling Index (FI)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0.162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0.131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0.070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8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&lt;0.6 = low fouling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IDT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°C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820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1030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980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Higher = better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Carbon (C)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wt% daf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43.6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46.2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46.7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49.3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9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48.3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50.4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Hydrogen (H)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wt% daf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5.9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6.6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Nitrogen (N)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wt% daf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Sulfur (S)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wt% daf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0.31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Cellulose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wt% db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37.0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38.5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38.6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39.8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40.1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42.2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Hemicellulose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wt% db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21.4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27.2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28.0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14.8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15.3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7f9fc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Lignin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wt% db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13.5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2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13.1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3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22.8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4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22.3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38.7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37.9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55555" w:space="0" w:sz="8" w:val="single"/>
              <w:left w:color="000000" w:space="0" w:sz="8" w:val="single"/>
              <w:bottom w:color="555555" w:space="0" w:sz="8" w:val="single"/>
              <w:right w:color="000000" w:space="0" w:sz="8" w:val="single"/>
            </w:tcBorders>
            <w:shd w:fill="ffffff" w:val="clear"/>
            <w:tcMar>
              <w:top w:w="50.0" w:type="dxa"/>
              <w:left w:w="80.0" w:type="dxa"/>
              <w:bottom w:w="5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16"/>
                <w:szCs w:val="16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D8">
      <w:pPr>
        <w:spacing w:after="100" w:line="260" w:lineRule="auto"/>
        <w:jc w:val="both"/>
        <w:rPr/>
      </w:pP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AI = (K₂O + Na₂O) kg GJ⁻¹ in fuel; FI = AI × S%. Thresholds from Miles et al. [9]. IDT: ASTM D1857/D1857M [30]. All measurements: n = 3 triplicates. db = dry basis; daf = dry ash-free.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9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pStyle w:val="Heading1"/>
        <w:pBdr>
          <w:bottom w:color="1f3864" w:space="0" w:sz="6" w:val="single"/>
        </w:pBdr>
        <w:spacing w:after="120" w:before="30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color w:val="1f3864"/>
          <w:sz w:val="24"/>
          <w:szCs w:val="24"/>
          <w:rtl w:val="0"/>
        </w:rPr>
        <w:t xml:space="preserve">Supplementary Figures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C">
      <w:pPr>
        <w:spacing w:after="160" w:before="60" w:lineRule="auto"/>
        <w:rPr/>
      </w:pPr>
      <w:r w:rsidDel="00000000" w:rsidR="00000000" w:rsidRPr="00000000">
        <w:rPr/>
        <w:drawing>
          <wp:inline distB="114300" distT="114300" distL="114300" distR="114300">
            <wp:extent cx="6191250" cy="398524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904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985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D">
      <w:pPr>
        <w:spacing w:after="160" w:before="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Fig. S1</w:t>
      </w: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 Mechanistic Plot — Bioleachate SO₄²⁻ Concentration (mg L⁻¹) vs Na Removal Efficiency (%) for all substrates, pulp densities, and time-points (n = 27 data points). Pearson r = 0.99 for RS, 0.98 for SCB, 0.97 for GNS. Confirms biogenic H₂SO₄ as primary driver of alkali removal. Each point represents one condition (PD × time). Regression line with 95% confidence band shown. Error bars = ±SD (n = 3).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E">
      <w:pPr>
        <w:spacing w:after="160" w:before="60" w:lineRule="auto"/>
        <w:rPr/>
      </w:pPr>
      <w:r w:rsidDel="00000000" w:rsidR="00000000" w:rsidRPr="00000000">
        <w:rPr/>
        <w:drawing>
          <wp:inline distB="114300" distT="114300" distL="114300" distR="114300">
            <wp:extent cx="6191250" cy="512445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577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124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F">
      <w:pPr>
        <w:spacing w:after="160" w:before="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Fig. S2</w:t>
      </w:r>
      <w:sdt>
        <w:sdtPr>
          <w:id w:val="1280731380"/>
          <w:tag w:val="goog_rdk_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iCs w:val="1"/>
              <w:sz w:val="18"/>
              <w:szCs w:val="18"/>
              <w:rtl w:val="0"/>
            </w:rPr>
            <w:t xml:space="preserve"> Correlation Matrix Heatmap — Pearson r values for key biomass properties (HHV, ash content, AI, FI, IDT), removal efficiencies (Na, K, Ca, Mg, Si), and process parameters (SO₄²⁻, pH, pulp density). n = 9 conditions (Day 21). Colour scale: red = positive (r = +1), blue = negative (r = −1), white = zero. Significance levels annotated: ** p &lt; 0.01, * p &lt; 0.05 (Table S10, this document).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0">
      <w:pPr>
        <w:spacing w:after="160" w:before="60" w:lineRule="auto"/>
        <w:rPr/>
      </w:pPr>
      <w:r w:rsidDel="00000000" w:rsidR="00000000" w:rsidRPr="00000000">
        <w:rPr/>
        <w:drawing>
          <wp:inline distB="114300" distT="114300" distL="114300" distR="114300">
            <wp:extent cx="6191250" cy="2296207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1038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962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1">
      <w:pPr>
        <w:spacing w:after="160" w:before="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Fig. S3</w:t>
      </w: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 Sensitivity Analysis — Magnitude of Pulp Density (PD) Effect vs Incubation Time Effect on Elemental Removal Efficiency (%) for Na, K, Ca, Mg, Si across three substrates. ΔRemoval calculated as described in Table S11. Grouped bar chart showing time effect consistently exceeds PD effect (ratio 1.5–2.1). Error bars = ±SD (n = 3).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2">
      <w:pPr>
        <w:spacing w:after="160" w:before="60" w:lineRule="auto"/>
        <w:rPr/>
      </w:pPr>
      <w:r w:rsidDel="00000000" w:rsidR="00000000" w:rsidRPr="00000000">
        <w:rPr/>
        <w:drawing>
          <wp:inline distB="114300" distT="114300" distL="114300" distR="114300">
            <wp:extent cx="6191250" cy="3724275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843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724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3">
      <w:pPr>
        <w:spacing w:after="160" w:before="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Fig. S4</w:t>
      </w: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 Mechanistic Plots — IC SO₄²⁻ Concentration (mg L⁻¹) vs Individual Metal Removal Efficiencies (%): (a) K, (b) Na, (c) Ca, (d) Mg, (e) Si, for all substrates, PDs, and time-points (n = 27 data points each). (f) Ash Initial Deformation Temperature (IDT, °C) comparison: RAW vs Post-Bioleaching for RS, SCB, GNS. Error bars = ±SD (n = 3).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4">
      <w:pPr>
        <w:spacing w:after="160" w:before="60" w:lineRule="auto"/>
        <w:rPr/>
      </w:pPr>
      <w:r w:rsidDel="00000000" w:rsidR="00000000" w:rsidRPr="00000000">
        <w:rPr/>
        <w:drawing>
          <wp:inline distB="114300" distT="114300" distL="114300" distR="114300">
            <wp:extent cx="6191250" cy="2069523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1239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695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5">
      <w:pPr>
        <w:spacing w:after="160" w:before="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Fig. S5</w:t>
      </w: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 Regression / Model Fit — Elemental Removal (%) vs Incubation Time (days) at 1% w/v PD for (a) RS, (b) SCB, (c) GNS. Solid lines = linear regression fit (parameters in Table S8). Dashed lines = 95% prediction intervals. Error bars = ±SD (n = 3). Confirms linear kinetics over the 7–21 day window.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spacing w:after="160" w:before="60" w:lineRule="auto"/>
        <w:rPr/>
      </w:pPr>
      <w:r w:rsidDel="00000000" w:rsidR="00000000" w:rsidRPr="00000000">
        <w:rPr/>
        <w:drawing>
          <wp:inline distB="114300" distT="114300" distL="114300" distR="114300">
            <wp:extent cx="6191250" cy="179589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1230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7958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7">
      <w:pPr>
        <w:spacing w:after="160" w:before="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Fig. S6</w:t>
      </w: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 Elemental Removal Heatmap (%) — All conditions (rows: K, Na, Ca, Mg, Si, Ash; columns: 9 PD/time combinations). Separate panels for RS, SCB, GNS. Colour scale: low removal (white) to high removal (dark blue). Optimal condition (1% w/v, 21 d) highlighted with border. Values as per Tables 2–4 (main text).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8">
      <w:pPr>
        <w:spacing w:after="160" w:before="60" w:lineRule="auto"/>
        <w:rPr/>
      </w:pPr>
      <w:r w:rsidDel="00000000" w:rsidR="00000000" w:rsidRPr="00000000">
        <w:rPr/>
        <w:drawing>
          <wp:inline distB="114300" distT="114300" distL="114300" distR="114300">
            <wp:extent cx="6191250" cy="511552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56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115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9">
      <w:pPr>
        <w:spacing w:after="160" w:before="6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Fig. S7</w:t>
      </w: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 Semi-Quantitative ATR-FTIR Peak Area Ratios — Grouped bar charts for all three substrates (RS, SCB, GNS), three pulp densities (1%, 3%, 5% w/v), and three time-points (Days 7, 14, 21) plus RAW. Panels show: (a) Si–O–Si/C–H, (b) SO₄²⁻/C–H, (c) O–H/C–H ratios. Error bars = ±SD (n = 3, Table S5). All CV% &lt; 5%.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A">
      <w:pPr>
        <w:spacing w:after="80" w:lineRule="auto"/>
        <w:rPr/>
      </w:pPr>
      <w:r w:rsidDel="00000000" w:rsidR="00000000" w:rsidRPr="00000000">
        <w:rPr/>
        <w:drawing>
          <wp:inline distB="114300" distT="114300" distL="114300" distR="114300">
            <wp:extent cx="6188400" cy="41275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B">
      <w:pPr>
        <w:spacing w:after="8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Fig. S8</w:t>
      </w:r>
      <w:sdt>
        <w:sdtPr>
          <w:id w:val="-427381647"/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iCs w:val="1"/>
              <w:sz w:val="18"/>
              <w:szCs w:val="18"/>
              <w:rtl w:val="0"/>
            </w:rPr>
            <w:t xml:space="preserve"> Proposed Mechanistic Pathway — Schematic linking A. thiooxidans bioleaching biochemistry (sulfur oxidation → biogenic H₂SO₄ generation), mineral dissolution cascades (alkali chlorides, alkaline-earth carbonates/phosphates, silicates), FTIR spectroscopic signatures (SO₄²⁻/C–H, O–H/C–H ratio changes), and combustion performance outcomes (reduced AI/FI, increased IDT, improved HHV). Circular arrows indicate leachate valorisation and sulfur cycling loops within the integrated biorefinery framework.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C">
      <w:pPr>
        <w:spacing w:after="80" w:lineRule="auto"/>
        <w:rPr/>
      </w:pPr>
      <w:r w:rsidDel="00000000" w:rsidR="00000000" w:rsidRPr="00000000">
        <w:rPr>
          <w:rtl w:val="0"/>
        </w:rPr>
      </w:r>
    </w:p>
    <w:sectPr>
      <w:footerReference r:id="rId15" w:type="default"/>
      <w:pgSz w:h="16838" w:w="11906" w:orient="portrait"/>
      <w:pgMar w:bottom="1080" w:top="108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Unicode MS"/>
  <w:font w:name="Caudex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d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6ED">
    <w:pPr>
      <w:jc w:val="center"/>
      <w:rPr/>
    </w:pPr>
    <w:r w:rsidDel="00000000" w:rsidR="00000000" w:rsidRPr="00000000">
      <w:rPr>
        <w:rFonts w:ascii="Arial" w:cs="Arial" w:eastAsia="Arial" w:hAnsi="Arial"/>
        <w:color w:val="888888"/>
        <w:sz w:val="16"/>
        <w:szCs w:val="16"/>
        <w:rtl w:val="0"/>
      </w:rPr>
      <w:t xml:space="preserve">Supplementary Material | Biotechnological Mineral Engineering via A. thiooxidans | Page </w:t>
    </w:r>
    <w:r w:rsidDel="00000000" w:rsidR="00000000" w:rsidRPr="00000000">
      <w:rPr>
        <w:rFonts w:ascii="Arial" w:cs="Arial" w:eastAsia="Arial" w:hAnsi="Arial"/>
        <w:color w:val="888888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18"/>
        <w:szCs w:val="18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1f3864" w:space="0" w:sz="6" w:val="single"/>
        <w:right w:space="0" w:sz="0" w:val="nil"/>
        <w:between w:space="0" w:sz="0" w:val="nil"/>
      </w:pBdr>
      <w:shd w:fill="auto" w:val="clear"/>
      <w:spacing w:after="120" w:before="300" w:line="240" w:lineRule="auto"/>
      <w:ind w:left="0" w:right="0" w:firstLine="0"/>
      <w:jc w:val="left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1f3864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00" w:line="240" w:lineRule="auto"/>
      <w:ind w:left="0" w:right="0" w:firstLine="0"/>
      <w:jc w:val="left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2f5597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2e74b5"/>
      <w:sz w:val="18"/>
      <w:szCs w:val="18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2e74b5"/>
      <w:sz w:val="18"/>
      <w:szCs w:val="18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1f4d78"/>
      <w:sz w:val="18"/>
      <w:szCs w:val="18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footer" Target="footer1.xml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udex-regular.ttf"/><Relationship Id="rId2" Type="http://schemas.openxmlformats.org/officeDocument/2006/relationships/font" Target="fonts/Caudex-bold.ttf"/><Relationship Id="rId3" Type="http://schemas.openxmlformats.org/officeDocument/2006/relationships/font" Target="fonts/Caudex-italic.ttf"/><Relationship Id="rId4" Type="http://schemas.openxmlformats.org/officeDocument/2006/relationships/font" Target="fonts/Caudex-boldItalic.ttf"/><Relationship Id="rId5" Type="http://schemas.openxmlformats.org/officeDocument/2006/relationships/font" Target="fonts/Cardo-regular.ttf"/><Relationship Id="rId6" Type="http://schemas.openxmlformats.org/officeDocument/2006/relationships/font" Target="fonts/Cardo-bold.ttf"/><Relationship Id="rId7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QKfAq8KFIUhRSsCB1qfsSoxMlQ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bCgIxNxIVChMIB0IPCgVBcmlhbBIGQ2F1ZGV4GhoKAjE4EhQKEggHQg4KBUFyaWFsEgVDYXJkb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zgAciExMmVGZ0lWaVA1TkNFYWp2RmhhZGtBaFJ1dnNpYVJme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