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ADCC6D" w14:textId="77777777" w:rsidR="00FC0D70" w:rsidRPr="009C1E92" w:rsidRDefault="00FC0D70" w:rsidP="00FC0D70">
      <w:pPr>
        <w:pStyle w:val="BATitle"/>
        <w:spacing w:before="0" w:after="0"/>
        <w:rPr>
          <w:b/>
          <w:sz w:val="28"/>
          <w:szCs w:val="24"/>
        </w:rPr>
      </w:pPr>
      <w:r w:rsidRPr="009C1E92">
        <w:rPr>
          <w:b/>
          <w:sz w:val="28"/>
          <w:szCs w:val="24"/>
        </w:rPr>
        <w:t>Remediation of pear iron chlorosis by nanocellulose-iron chelation and mechanisms</w:t>
      </w:r>
    </w:p>
    <w:p w14:paraId="058856FB" w14:textId="77777777" w:rsidR="00FC0D70" w:rsidRPr="00526DDD" w:rsidRDefault="00FC0D70" w:rsidP="00FC0D70">
      <w:pPr>
        <w:pStyle w:val="BBAuthorName"/>
        <w:jc w:val="left"/>
        <w:rPr>
          <w:rFonts w:ascii="Times New Roman" w:hAnsi="Times New Roman"/>
          <w:i w:val="0"/>
        </w:rPr>
      </w:pPr>
      <w:r w:rsidRPr="00526DDD">
        <w:rPr>
          <w:rFonts w:ascii="Times New Roman" w:hAnsi="Times New Roman"/>
          <w:i w:val="0"/>
        </w:rPr>
        <w:t>Xianping Guo</w:t>
      </w:r>
      <w:r w:rsidRPr="00526DDD">
        <w:rPr>
          <w:rFonts w:ascii="Times New Roman" w:hAnsi="Times New Roman"/>
          <w:i w:val="0"/>
          <w:vertAlign w:val="superscript"/>
        </w:rPr>
        <w:t>1</w:t>
      </w:r>
      <w:r w:rsidRPr="00526DDD">
        <w:rPr>
          <w:rFonts w:ascii="Times New Roman" w:hAnsi="Times New Roman"/>
          <w:i w:val="0"/>
        </w:rPr>
        <w:t>, Yiwei Bian</w:t>
      </w:r>
      <w:r w:rsidRPr="00526DDD">
        <w:rPr>
          <w:rFonts w:ascii="Times New Roman" w:hAnsi="Times New Roman"/>
          <w:i w:val="0"/>
          <w:vertAlign w:val="superscript"/>
        </w:rPr>
        <w:t>2</w:t>
      </w:r>
      <w:r w:rsidRPr="00526DDD">
        <w:rPr>
          <w:rFonts w:ascii="Times New Roman" w:hAnsi="Times New Roman"/>
          <w:i w:val="0"/>
        </w:rPr>
        <w:t>, Qizhen Qiu</w:t>
      </w:r>
      <w:r w:rsidRPr="00526DDD">
        <w:rPr>
          <w:rFonts w:ascii="Times New Roman" w:hAnsi="Times New Roman"/>
          <w:i w:val="0"/>
          <w:vertAlign w:val="superscript"/>
        </w:rPr>
        <w:t>2</w:t>
      </w:r>
      <w:r w:rsidRPr="00526DDD">
        <w:rPr>
          <w:rFonts w:ascii="Times New Roman" w:hAnsi="Times New Roman"/>
          <w:i w:val="0"/>
        </w:rPr>
        <w:t>, Dongsheng Wang</w:t>
      </w:r>
      <w:r w:rsidRPr="00526DDD">
        <w:rPr>
          <w:rFonts w:ascii="Times New Roman" w:hAnsi="Times New Roman"/>
          <w:i w:val="0"/>
          <w:vertAlign w:val="superscript"/>
        </w:rPr>
        <w:t>1</w:t>
      </w:r>
      <w:r w:rsidRPr="00526DDD">
        <w:rPr>
          <w:rFonts w:ascii="Times New Roman" w:hAnsi="Times New Roman"/>
          <w:i w:val="0"/>
        </w:rPr>
        <w:t>*, Zhongying Wu</w:t>
      </w:r>
      <w:r w:rsidRPr="00526DDD">
        <w:rPr>
          <w:rFonts w:ascii="Times New Roman" w:hAnsi="Times New Roman"/>
          <w:i w:val="0"/>
          <w:vertAlign w:val="superscript"/>
        </w:rPr>
        <w:t>1</w:t>
      </w:r>
      <w:r w:rsidRPr="00526DDD">
        <w:rPr>
          <w:rFonts w:ascii="Times New Roman" w:hAnsi="Times New Roman"/>
          <w:i w:val="0"/>
        </w:rPr>
        <w:t>, Zhenzhen Lv</w:t>
      </w:r>
      <w:r w:rsidRPr="00526DDD">
        <w:rPr>
          <w:rFonts w:ascii="Times New Roman" w:hAnsi="Times New Roman"/>
          <w:i w:val="0"/>
          <w:vertAlign w:val="superscript"/>
        </w:rPr>
        <w:t>1</w:t>
      </w:r>
      <w:r w:rsidRPr="00526DDD">
        <w:rPr>
          <w:rFonts w:ascii="Times New Roman" w:hAnsi="Times New Roman"/>
          <w:i w:val="0"/>
        </w:rPr>
        <w:t>, Beijing Zhang</w:t>
      </w:r>
      <w:r w:rsidRPr="00526DDD">
        <w:rPr>
          <w:rFonts w:ascii="Times New Roman" w:hAnsi="Times New Roman"/>
          <w:i w:val="0"/>
          <w:vertAlign w:val="superscript"/>
        </w:rPr>
        <w:t>2</w:t>
      </w:r>
      <w:r w:rsidRPr="00526DDD">
        <w:rPr>
          <w:rFonts w:ascii="Times New Roman" w:hAnsi="Times New Roman"/>
          <w:i w:val="0"/>
        </w:rPr>
        <w:t>, Qingnan Wu</w:t>
      </w:r>
      <w:r w:rsidRPr="00526DDD">
        <w:rPr>
          <w:rFonts w:ascii="Times New Roman" w:hAnsi="Times New Roman"/>
          <w:i w:val="0"/>
          <w:vertAlign w:val="superscript"/>
        </w:rPr>
        <w:t>2,3</w:t>
      </w:r>
      <w:r w:rsidRPr="00526DDD">
        <w:rPr>
          <w:rFonts w:ascii="Times New Roman" w:hAnsi="Times New Roman"/>
          <w:i w:val="0"/>
        </w:rPr>
        <w:t>, Hezhong Wang</w:t>
      </w:r>
      <w:r w:rsidRPr="00526DDD">
        <w:rPr>
          <w:rFonts w:ascii="Times New Roman" w:hAnsi="Times New Roman"/>
          <w:i w:val="0"/>
          <w:vertAlign w:val="superscript"/>
        </w:rPr>
        <w:t>2,3</w:t>
      </w:r>
      <w:r w:rsidRPr="00526DDD">
        <w:rPr>
          <w:rFonts w:ascii="Times New Roman" w:hAnsi="Times New Roman"/>
          <w:i w:val="0"/>
        </w:rPr>
        <w:t>*</w:t>
      </w:r>
    </w:p>
    <w:p w14:paraId="5A7D8584" w14:textId="77777777" w:rsidR="00FC0D70" w:rsidRPr="00526DDD" w:rsidRDefault="00FC0D70" w:rsidP="00FC0D70">
      <w:pPr>
        <w:pStyle w:val="BIEmailAddress"/>
        <w:rPr>
          <w:rFonts w:ascii="Times New Roman" w:hAnsi="Times New Roman"/>
        </w:rPr>
      </w:pPr>
      <w:r w:rsidRPr="00526DDD">
        <w:rPr>
          <w:rFonts w:ascii="Times New Roman" w:hAnsi="Times New Roman"/>
          <w:vertAlign w:val="superscript"/>
        </w:rPr>
        <w:t>1</w:t>
      </w:r>
      <w:r>
        <w:rPr>
          <w:rFonts w:ascii="Times New Roman" w:hAnsi="Times New Roman"/>
          <w:vertAlign w:val="superscript"/>
        </w:rPr>
        <w:t xml:space="preserve"> </w:t>
      </w:r>
      <w:r w:rsidRPr="00526DDD">
        <w:rPr>
          <w:rFonts w:ascii="Times New Roman" w:hAnsi="Times New Roman"/>
        </w:rPr>
        <w:t>Institute of Horticulture, Henan Academy of Agricultural Sciences, Zhengzhou 450002, China</w:t>
      </w:r>
    </w:p>
    <w:p w14:paraId="1C780AD9" w14:textId="77777777" w:rsidR="00FC0D70" w:rsidRPr="00526DDD" w:rsidRDefault="00FC0D70" w:rsidP="00FC0D70">
      <w:pPr>
        <w:pStyle w:val="BIEmailAddress"/>
        <w:rPr>
          <w:rFonts w:ascii="Times New Roman" w:hAnsi="Times New Roman"/>
        </w:rPr>
      </w:pPr>
      <w:r w:rsidRPr="00526DDD">
        <w:rPr>
          <w:rFonts w:ascii="Times New Roman" w:hAnsi="Times New Roman"/>
          <w:vertAlign w:val="superscript"/>
        </w:rPr>
        <w:t>2</w:t>
      </w:r>
      <w:r>
        <w:rPr>
          <w:rFonts w:ascii="Times New Roman" w:hAnsi="Times New Roman"/>
          <w:vertAlign w:val="superscript"/>
        </w:rPr>
        <w:t xml:space="preserve"> </w:t>
      </w:r>
      <w:r w:rsidRPr="00526DDD">
        <w:rPr>
          <w:rFonts w:ascii="Times New Roman" w:hAnsi="Times New Roman"/>
        </w:rPr>
        <w:t>College of Plant Protection, Henan Agricultural University, Zhengzhou 450002, China</w:t>
      </w:r>
    </w:p>
    <w:p w14:paraId="4444DDE8" w14:textId="77777777" w:rsidR="00FC0D70" w:rsidRPr="00526DDD" w:rsidRDefault="00FC0D70" w:rsidP="00FC0D70">
      <w:pPr>
        <w:pStyle w:val="BIEmailAddress"/>
        <w:rPr>
          <w:rFonts w:ascii="Times New Roman" w:hAnsi="Times New Roman"/>
        </w:rPr>
      </w:pPr>
      <w:r w:rsidRPr="00526DDD">
        <w:rPr>
          <w:rFonts w:ascii="Times New Roman" w:hAnsi="Times New Roman"/>
          <w:vertAlign w:val="superscript"/>
        </w:rPr>
        <w:t>3</w:t>
      </w:r>
      <w:r>
        <w:rPr>
          <w:rFonts w:ascii="Times New Roman" w:hAnsi="Times New Roman"/>
          <w:vertAlign w:val="superscript"/>
        </w:rPr>
        <w:t xml:space="preserve"> </w:t>
      </w:r>
      <w:r w:rsidRPr="00526DDD">
        <w:rPr>
          <w:rFonts w:ascii="Times New Roman" w:hAnsi="Times New Roman"/>
        </w:rPr>
        <w:t>NanoAgro Center, Henan Agricultural University, Zhengzhou 450002, China</w:t>
      </w:r>
    </w:p>
    <w:p w14:paraId="2101D42A" w14:textId="77777777" w:rsidR="00FC0D70" w:rsidRPr="00904914" w:rsidRDefault="00FC0D70" w:rsidP="00FC0D70">
      <w:pPr>
        <w:spacing w:after="156" w:line="480" w:lineRule="auto"/>
        <w:ind w:firstLineChars="176" w:firstLine="422"/>
        <w:jc w:val="left"/>
        <w:rPr>
          <w:rFonts w:ascii="Times New Roman" w:hAnsi="Times New Roman" w:cs="Times New Roman"/>
          <w:sz w:val="24"/>
          <w:szCs w:val="24"/>
        </w:rPr>
      </w:pPr>
      <w:r w:rsidRPr="00904914">
        <w:rPr>
          <w:rFonts w:ascii="Times New Roman" w:hAnsi="Times New Roman" w:cs="Times New Roman"/>
          <w:sz w:val="24"/>
          <w:szCs w:val="24"/>
        </w:rPr>
        <w:t xml:space="preserve">* Correspondence: </w:t>
      </w:r>
    </w:p>
    <w:p w14:paraId="5E3522A7" w14:textId="77777777" w:rsidR="00FC0D70" w:rsidRPr="00904914" w:rsidRDefault="00FC0D70" w:rsidP="00FC0D70">
      <w:pPr>
        <w:spacing w:after="156" w:line="480" w:lineRule="auto"/>
        <w:ind w:firstLineChars="176" w:firstLine="422"/>
        <w:jc w:val="left"/>
        <w:rPr>
          <w:rStyle w:val="a7"/>
          <w:rFonts w:ascii="Times New Roman" w:hAnsi="Times New Roman" w:cs="Times New Roman"/>
          <w:sz w:val="24"/>
          <w:szCs w:val="24"/>
        </w:rPr>
      </w:pPr>
      <w:r w:rsidRPr="00904914">
        <w:rPr>
          <w:rFonts w:ascii="Times New Roman" w:hAnsi="Times New Roman" w:cs="Times New Roman"/>
          <w:sz w:val="24"/>
          <w:szCs w:val="24"/>
        </w:rPr>
        <w:t xml:space="preserve">Hezhong Wang: </w:t>
      </w:r>
      <w:hyperlink r:id="rId7" w:history="1">
        <w:r w:rsidRPr="00904914">
          <w:rPr>
            <w:rStyle w:val="a7"/>
            <w:rFonts w:ascii="Times New Roman" w:hAnsi="Times New Roman" w:cs="Times New Roman"/>
            <w:sz w:val="24"/>
            <w:szCs w:val="24"/>
          </w:rPr>
          <w:t>hezhongw@126.com</w:t>
        </w:r>
      </w:hyperlink>
      <w:r w:rsidRPr="00904914">
        <w:rPr>
          <w:rFonts w:ascii="Times New Roman" w:hAnsi="Times New Roman" w:cs="Times New Roman"/>
          <w:sz w:val="24"/>
          <w:szCs w:val="24"/>
        </w:rPr>
        <w:t>; ORCID</w:t>
      </w:r>
      <w:r w:rsidRPr="00904914">
        <w:rPr>
          <w:rStyle w:val="a7"/>
          <w:rFonts w:ascii="Times New Roman" w:hAnsi="Times New Roman" w:cs="Times New Roman"/>
          <w:sz w:val="24"/>
          <w:szCs w:val="24"/>
        </w:rPr>
        <w:t>: 0000-0002-9281-8533;</w:t>
      </w:r>
    </w:p>
    <w:p w14:paraId="377F40E0" w14:textId="77777777" w:rsidR="00FC0D70" w:rsidRPr="00904914" w:rsidRDefault="00FC0D70" w:rsidP="00FC0D70">
      <w:pPr>
        <w:spacing w:line="480" w:lineRule="auto"/>
        <w:ind w:firstLine="387"/>
        <w:jc w:val="left"/>
        <w:rPr>
          <w:rFonts w:ascii="Times New Roman" w:hAnsi="Times New Roman" w:cs="Times New Roman"/>
          <w:sz w:val="24"/>
          <w:szCs w:val="24"/>
        </w:rPr>
      </w:pPr>
      <w:r w:rsidRPr="00904914">
        <w:rPr>
          <w:rFonts w:ascii="Times New Roman" w:hAnsi="Times New Roman" w:cs="Times New Roman"/>
          <w:sz w:val="24"/>
          <w:szCs w:val="24"/>
        </w:rPr>
        <w:t>Dongsheng Wang: wdse66@126.com</w:t>
      </w:r>
    </w:p>
    <w:p w14:paraId="254A9FA7" w14:textId="77777777" w:rsidR="00FC0D70" w:rsidRDefault="00FC0D70" w:rsidP="00F710D4">
      <w:pPr>
        <w:spacing w:line="480" w:lineRule="auto"/>
        <w:rPr>
          <w:rFonts w:ascii="Times New Roman" w:hAnsi="Times New Roman" w:cs="Times New Roman"/>
          <w:b/>
          <w:bCs/>
          <w:sz w:val="24"/>
          <w:szCs w:val="24"/>
        </w:rPr>
      </w:pPr>
    </w:p>
    <w:p w14:paraId="1464E333" w14:textId="77777777" w:rsidR="00FC0D70" w:rsidRDefault="00FC0D70" w:rsidP="00F710D4">
      <w:pPr>
        <w:spacing w:line="480" w:lineRule="auto"/>
        <w:rPr>
          <w:rFonts w:ascii="Times New Roman" w:hAnsi="Times New Roman" w:cs="Times New Roman"/>
          <w:b/>
          <w:bCs/>
          <w:sz w:val="24"/>
          <w:szCs w:val="24"/>
        </w:rPr>
      </w:pPr>
    </w:p>
    <w:p w14:paraId="52372C12" w14:textId="77777777" w:rsidR="00FC0D70" w:rsidRDefault="00FC0D70" w:rsidP="00F710D4">
      <w:pPr>
        <w:spacing w:line="480" w:lineRule="auto"/>
        <w:rPr>
          <w:rFonts w:ascii="Times New Roman" w:hAnsi="Times New Roman" w:cs="Times New Roman"/>
          <w:b/>
          <w:bCs/>
          <w:sz w:val="24"/>
          <w:szCs w:val="24"/>
        </w:rPr>
      </w:pPr>
    </w:p>
    <w:p w14:paraId="5A7C4CBD" w14:textId="77777777" w:rsidR="00FC0D70" w:rsidRDefault="00FC0D70" w:rsidP="00F710D4">
      <w:pPr>
        <w:spacing w:line="480" w:lineRule="auto"/>
        <w:rPr>
          <w:rFonts w:ascii="Times New Roman" w:hAnsi="Times New Roman" w:cs="Times New Roman"/>
          <w:b/>
          <w:bCs/>
          <w:sz w:val="24"/>
          <w:szCs w:val="24"/>
        </w:rPr>
      </w:pPr>
    </w:p>
    <w:p w14:paraId="1A30DE16" w14:textId="77777777" w:rsidR="00FC0D70" w:rsidRDefault="00FC0D70" w:rsidP="00F710D4">
      <w:pPr>
        <w:spacing w:line="480" w:lineRule="auto"/>
        <w:rPr>
          <w:rFonts w:ascii="Times New Roman" w:hAnsi="Times New Roman" w:cs="Times New Roman"/>
          <w:b/>
          <w:bCs/>
          <w:sz w:val="24"/>
          <w:szCs w:val="24"/>
        </w:rPr>
      </w:pPr>
    </w:p>
    <w:p w14:paraId="198D95EB" w14:textId="77777777" w:rsidR="00FC0D70" w:rsidRDefault="00FC0D70" w:rsidP="00F710D4">
      <w:pPr>
        <w:spacing w:line="480" w:lineRule="auto"/>
        <w:rPr>
          <w:rFonts w:ascii="Times New Roman" w:hAnsi="Times New Roman" w:cs="Times New Roman"/>
          <w:b/>
          <w:bCs/>
          <w:sz w:val="24"/>
          <w:szCs w:val="24"/>
        </w:rPr>
      </w:pPr>
    </w:p>
    <w:p w14:paraId="5D33F635" w14:textId="77777777" w:rsidR="00FC0D70" w:rsidRDefault="00FC0D70" w:rsidP="00F710D4">
      <w:pPr>
        <w:spacing w:line="480" w:lineRule="auto"/>
        <w:rPr>
          <w:rFonts w:ascii="Times New Roman" w:hAnsi="Times New Roman" w:cs="Times New Roman"/>
          <w:b/>
          <w:bCs/>
          <w:sz w:val="24"/>
          <w:szCs w:val="24"/>
        </w:rPr>
      </w:pPr>
    </w:p>
    <w:p w14:paraId="1C1ECFE9" w14:textId="77777777" w:rsidR="00FC0D70" w:rsidRDefault="00FC0D70" w:rsidP="00F710D4">
      <w:pPr>
        <w:spacing w:line="480" w:lineRule="auto"/>
        <w:rPr>
          <w:rFonts w:ascii="Times New Roman" w:hAnsi="Times New Roman" w:cs="Times New Roman"/>
          <w:b/>
          <w:bCs/>
          <w:sz w:val="24"/>
          <w:szCs w:val="24"/>
        </w:rPr>
      </w:pPr>
    </w:p>
    <w:p w14:paraId="66443459" w14:textId="2D7928CB" w:rsidR="00D42048" w:rsidRPr="00904914" w:rsidRDefault="00D42048" w:rsidP="00904914">
      <w:pPr>
        <w:spacing w:line="480" w:lineRule="auto"/>
        <w:jc w:val="center"/>
        <w:rPr>
          <w:rFonts w:ascii="Times New Roman" w:hAnsi="Times New Roman" w:cs="Times New Roman"/>
          <w:b/>
          <w:bCs/>
          <w:sz w:val="24"/>
          <w:szCs w:val="24"/>
        </w:rPr>
      </w:pPr>
      <w:r w:rsidRPr="00904914">
        <w:rPr>
          <w:rFonts w:ascii="Times New Roman" w:hAnsi="Times New Roman" w:cs="Times New Roman"/>
          <w:b/>
          <w:bCs/>
          <w:sz w:val="24"/>
          <w:szCs w:val="24"/>
        </w:rPr>
        <w:lastRenderedPageBreak/>
        <w:t>The chlorophyll fluorescence parameters measurements</w:t>
      </w:r>
      <w:r w:rsidR="00073F44" w:rsidRPr="00904914">
        <w:rPr>
          <w:rFonts w:ascii="Times New Roman" w:hAnsi="Times New Roman" w:cs="Times New Roman"/>
          <w:b/>
          <w:bCs/>
          <w:sz w:val="24"/>
          <w:szCs w:val="24"/>
        </w:rPr>
        <w:t xml:space="preserve"> and calculations</w:t>
      </w:r>
    </w:p>
    <w:p w14:paraId="08B4483C" w14:textId="40379D4A" w:rsidR="004367EC" w:rsidRPr="00513629" w:rsidRDefault="004367EC" w:rsidP="004367EC">
      <w:pPr>
        <w:spacing w:line="480" w:lineRule="auto"/>
        <w:ind w:firstLine="420"/>
        <w:rPr>
          <w:rFonts w:ascii="Times New Roman" w:hAnsi="Times New Roman" w:cs="Times New Roman"/>
          <w:sz w:val="24"/>
          <w:szCs w:val="24"/>
        </w:rPr>
      </w:pPr>
      <w:r w:rsidRPr="00513629">
        <w:rPr>
          <w:rFonts w:ascii="Times New Roman" w:hAnsi="Times New Roman" w:cs="Times New Roman"/>
          <w:sz w:val="24"/>
          <w:szCs w:val="24"/>
        </w:rPr>
        <w:t>The chlorophyll fluorescence parameters including minimal fluorescence (F</w:t>
      </w:r>
      <w:r w:rsidRPr="00513629">
        <w:rPr>
          <w:rFonts w:ascii="Times New Roman" w:hAnsi="Times New Roman" w:cs="Times New Roman" w:hint="eastAsia"/>
          <w:sz w:val="24"/>
          <w:szCs w:val="24"/>
        </w:rPr>
        <w:t>o</w:t>
      </w:r>
      <w:r w:rsidRPr="00513629">
        <w:rPr>
          <w:rFonts w:ascii="Times New Roman" w:hAnsi="Times New Roman" w:cs="Times New Roman"/>
          <w:sz w:val="24"/>
          <w:szCs w:val="24"/>
        </w:rPr>
        <w:t>), maximal fluorescence (Fm), and fluorescence in stable state (Fs) were measured by the FMS-1 fluorometer (Hansatech Company, UK). Parameters were calculated following the methods described by Mi et al.</w:t>
      </w:r>
      <w:r w:rsidRPr="00513629">
        <w:rPr>
          <w:rFonts w:ascii="Times New Roman" w:hAnsi="Times New Roman" w:cs="Times New Roman"/>
          <w:sz w:val="24"/>
          <w:szCs w:val="24"/>
        </w:rPr>
        <w:fldChar w:fldCharType="begin"/>
      </w:r>
      <w:r w:rsidR="00FC0D70">
        <w:rPr>
          <w:rFonts w:ascii="Times New Roman" w:hAnsi="Times New Roman" w:cs="Times New Roman"/>
          <w:sz w:val="24"/>
          <w:szCs w:val="24"/>
        </w:rPr>
        <w:instrText xml:space="preserve"> ADDIN EN.CITE &lt;EndNote&gt;&lt;Cite ExcludeAuth="1"&gt;&lt;Author&gt;Mi&lt;/Author&gt;&lt;Year&gt;2015&lt;/Year&gt;&lt;RecNum&gt;3319&lt;/RecNum&gt;&lt;DisplayText&gt;&lt;style face="italic superscript"&gt;1&lt;/style&gt;&lt;/DisplayText&gt;&lt;record&gt;&lt;rec-number&gt;3319&lt;/rec-number&gt;&lt;foreign-keys&gt;&lt;key app="EN" db-id="pdvet9wwazrsvjedfz359e5kfadpve9z22zt" timestamp="0"&gt;3319&lt;/key&gt;&lt;/foreign-keys&gt;&lt;ref-type name="Journal Article"&gt;17&lt;/ref-type&gt;&lt;contributors&gt;&lt;authors&gt;&lt;author&gt;Mi, Guoquan&lt;/author&gt;&lt;author&gt;Cheng, Zhifang &lt;/author&gt;&lt;author&gt;Wang, Jinhua&lt;/author&gt;&lt;author&gt; Li, Xiaohong &lt;/author&gt;&lt;author&gt;Han, Yongping &lt;/author&gt;&lt;author&gt;Li, Jishu&lt;/author&gt;&lt;/authors&gt;&lt;/contributors&gt;&lt;titles&gt;&lt;title&gt;&lt;style face="normal" font="default" size="100%"&gt;Evaluation of tolerance to low temperature and low light of different tomato varieties by chlorophyll fluorescence parameters (in Chinese with&lt;/style&gt;&lt;style face="normal" font="default" charset="134" size="100%"&gt; &lt;/style&gt;&lt;style face="normal" font="default" size="100%"&gt;English Abstract)&lt;/style&gt;&lt;/title&gt;&lt;secondary-title&gt;J. Henan Agric. Sci.&lt;/secondary-title&gt;&lt;/titles&gt;&lt;periodical&gt;&lt;full-title&gt;J. Henan Agric. Sci.&lt;/full-title&gt;&lt;/periodical&gt;&lt;pages&gt;94-97&lt;/pages&gt;&lt;volume&gt;44&lt;/volume&gt;&lt;number&gt;01&lt;/number&gt;&lt;dates&gt;&lt;year&gt;2015&lt;/year&gt;&lt;/dates&gt;&lt;urls&gt;&lt;/urls&gt;&lt;electronic-resource-num&gt;http://www.cqvip.com/qk/93996x/201501/663653580.html&lt;/electronic-resource-num&gt;&lt;/record&gt;&lt;/Cite&gt;&lt;/EndNote&gt;</w:instrText>
      </w:r>
      <w:r w:rsidRPr="00513629">
        <w:rPr>
          <w:rFonts w:ascii="Times New Roman" w:hAnsi="Times New Roman" w:cs="Times New Roman"/>
          <w:sz w:val="24"/>
          <w:szCs w:val="24"/>
        </w:rPr>
        <w:fldChar w:fldCharType="separate"/>
      </w:r>
      <w:r w:rsidR="00FC0D70" w:rsidRPr="00FC0D70">
        <w:rPr>
          <w:rFonts w:ascii="Times New Roman" w:hAnsi="Times New Roman" w:cs="Times New Roman"/>
          <w:i/>
          <w:noProof/>
          <w:sz w:val="24"/>
          <w:szCs w:val="24"/>
          <w:vertAlign w:val="superscript"/>
        </w:rPr>
        <w:t>1</w:t>
      </w:r>
      <w:r w:rsidRPr="00513629">
        <w:rPr>
          <w:rFonts w:ascii="Times New Roman" w:hAnsi="Times New Roman" w:cs="Times New Roman"/>
          <w:sz w:val="24"/>
          <w:szCs w:val="24"/>
        </w:rPr>
        <w:fldChar w:fldCharType="end"/>
      </w:r>
    </w:p>
    <w:p w14:paraId="0743C8B8" w14:textId="77777777" w:rsidR="004367EC" w:rsidRPr="00513629" w:rsidRDefault="004367EC" w:rsidP="004367EC">
      <w:pPr>
        <w:spacing w:line="480" w:lineRule="auto"/>
        <w:ind w:firstLineChars="200" w:firstLine="480"/>
        <w:rPr>
          <w:rFonts w:ascii="Times New Roman" w:hAnsi="Times New Roman" w:cs="Times New Roman"/>
          <w:sz w:val="24"/>
          <w:szCs w:val="24"/>
        </w:rPr>
      </w:pPr>
      <w:r w:rsidRPr="00513629">
        <w:rPr>
          <w:rFonts w:ascii="Times New Roman" w:hAnsi="Times New Roman" w:cs="Times New Roman"/>
          <w:sz w:val="24"/>
          <w:szCs w:val="24"/>
        </w:rPr>
        <w:t xml:space="preserve">Maximal quantum yield of photosystem II (PS II): </w:t>
      </w:r>
    </w:p>
    <w:p w14:paraId="4E77E0AF" w14:textId="77777777" w:rsidR="004367EC" w:rsidRPr="00513629" w:rsidRDefault="004367EC" w:rsidP="004367EC">
      <w:pPr>
        <w:spacing w:line="480" w:lineRule="auto"/>
        <w:ind w:firstLineChars="200" w:firstLine="480"/>
        <w:jc w:val="center"/>
        <w:rPr>
          <w:rFonts w:ascii="Times New Roman" w:hAnsi="Times New Roman" w:cs="Times New Roman"/>
          <w:sz w:val="24"/>
          <w:szCs w:val="24"/>
        </w:rPr>
      </w:pPr>
      <w:r w:rsidRPr="00513629">
        <w:rPr>
          <w:rFonts w:ascii="Times New Roman" w:hAnsi="Times New Roman" w:cs="Times New Roman"/>
          <w:sz w:val="24"/>
          <w:szCs w:val="24"/>
        </w:rPr>
        <w:t>PSII = Fv / Fm = (Fm - F</w:t>
      </w:r>
      <w:r w:rsidRPr="00513629">
        <w:rPr>
          <w:rFonts w:ascii="Times New Roman" w:hAnsi="Times New Roman" w:cs="Times New Roman" w:hint="eastAsia"/>
          <w:sz w:val="24"/>
          <w:szCs w:val="24"/>
        </w:rPr>
        <w:t>o</w:t>
      </w:r>
      <w:r w:rsidRPr="00513629">
        <w:rPr>
          <w:rFonts w:ascii="Times New Roman" w:hAnsi="Times New Roman" w:cs="Times New Roman"/>
          <w:sz w:val="24"/>
          <w:szCs w:val="24"/>
        </w:rPr>
        <w:t>) / Fm                (1)</w:t>
      </w:r>
    </w:p>
    <w:p w14:paraId="67F368FF" w14:textId="77777777" w:rsidR="004367EC" w:rsidRPr="00513629" w:rsidRDefault="004367EC" w:rsidP="004367EC">
      <w:pPr>
        <w:spacing w:line="480" w:lineRule="auto"/>
        <w:ind w:firstLineChars="200" w:firstLine="480"/>
        <w:rPr>
          <w:rFonts w:ascii="Times New Roman" w:hAnsi="Times New Roman" w:cs="Times New Roman"/>
          <w:sz w:val="24"/>
          <w:szCs w:val="24"/>
        </w:rPr>
      </w:pPr>
      <w:r w:rsidRPr="00513629">
        <w:rPr>
          <w:rFonts w:ascii="Times New Roman" w:hAnsi="Times New Roman" w:cs="Times New Roman"/>
          <w:sz w:val="24"/>
          <w:szCs w:val="24"/>
        </w:rPr>
        <w:t>Actual photochemical efficiency (Φ PS II):</w:t>
      </w:r>
    </w:p>
    <w:p w14:paraId="000FED29" w14:textId="1566F3DA" w:rsidR="004367EC" w:rsidRPr="00513629" w:rsidRDefault="004367EC" w:rsidP="004367EC">
      <w:pPr>
        <w:spacing w:line="480" w:lineRule="auto"/>
        <w:ind w:firstLineChars="200" w:firstLine="480"/>
        <w:jc w:val="center"/>
        <w:rPr>
          <w:rFonts w:ascii="Times New Roman" w:hAnsi="Times New Roman" w:cs="Times New Roman"/>
          <w:sz w:val="24"/>
          <w:szCs w:val="24"/>
        </w:rPr>
      </w:pPr>
      <w:r w:rsidRPr="00513629">
        <w:rPr>
          <w:rFonts w:ascii="Times New Roman" w:hAnsi="Times New Roman" w:cs="Times New Roman" w:hint="eastAsia"/>
          <w:sz w:val="24"/>
          <w:szCs w:val="24"/>
        </w:rPr>
        <w:t>Φ</w:t>
      </w:r>
      <w:r w:rsidRPr="00513629">
        <w:rPr>
          <w:rFonts w:ascii="Times New Roman" w:hAnsi="Times New Roman" w:cs="Times New Roman"/>
          <w:sz w:val="24"/>
          <w:szCs w:val="24"/>
        </w:rPr>
        <w:t xml:space="preserve">PSII = (Fm’-Fs) / Fm’            </w:t>
      </w:r>
      <w:r w:rsidR="003C3D27">
        <w:rPr>
          <w:rFonts w:ascii="Times New Roman" w:hAnsi="Times New Roman" w:cs="Times New Roman"/>
          <w:sz w:val="24"/>
          <w:szCs w:val="24"/>
        </w:rPr>
        <w:t xml:space="preserve">      </w:t>
      </w:r>
      <w:r w:rsidRPr="00513629">
        <w:rPr>
          <w:rFonts w:ascii="Times New Roman" w:hAnsi="Times New Roman" w:cs="Times New Roman"/>
          <w:sz w:val="24"/>
          <w:szCs w:val="24"/>
        </w:rPr>
        <w:t xml:space="preserve">    (2)</w:t>
      </w:r>
    </w:p>
    <w:p w14:paraId="7E09EE4B" w14:textId="77777777" w:rsidR="004367EC" w:rsidRPr="00513629" w:rsidRDefault="004367EC" w:rsidP="004367EC">
      <w:pPr>
        <w:spacing w:line="480" w:lineRule="auto"/>
        <w:ind w:firstLineChars="200" w:firstLine="480"/>
        <w:rPr>
          <w:rFonts w:ascii="Times New Roman" w:hAnsi="Times New Roman" w:cs="Times New Roman"/>
          <w:sz w:val="24"/>
          <w:szCs w:val="24"/>
        </w:rPr>
      </w:pPr>
      <w:r w:rsidRPr="00513629">
        <w:rPr>
          <w:rFonts w:ascii="Times New Roman" w:hAnsi="Times New Roman" w:cs="Times New Roman"/>
          <w:sz w:val="24"/>
          <w:szCs w:val="24"/>
        </w:rPr>
        <w:t>Non-photochemical quenching coefficient (NPQ):</w:t>
      </w:r>
    </w:p>
    <w:p w14:paraId="5E07C07C" w14:textId="5124D74B" w:rsidR="004367EC" w:rsidRPr="00513629" w:rsidRDefault="004367EC" w:rsidP="004367EC">
      <w:pPr>
        <w:spacing w:line="480" w:lineRule="auto"/>
        <w:ind w:firstLineChars="200" w:firstLine="480"/>
        <w:jc w:val="center"/>
        <w:rPr>
          <w:rFonts w:ascii="Times New Roman" w:hAnsi="Times New Roman" w:cs="Times New Roman"/>
          <w:sz w:val="24"/>
          <w:szCs w:val="24"/>
        </w:rPr>
      </w:pPr>
      <w:r w:rsidRPr="00513629">
        <w:rPr>
          <w:rFonts w:ascii="Times New Roman" w:hAnsi="Times New Roman" w:cs="Times New Roman"/>
          <w:sz w:val="24"/>
          <w:szCs w:val="24"/>
        </w:rPr>
        <w:t xml:space="preserve">NPQ = (Fm - Fm’) / Fm’              </w:t>
      </w:r>
      <w:r w:rsidR="003C3D27">
        <w:rPr>
          <w:rFonts w:ascii="Times New Roman" w:hAnsi="Times New Roman" w:cs="Times New Roman"/>
          <w:sz w:val="24"/>
          <w:szCs w:val="24"/>
        </w:rPr>
        <w:t xml:space="preserve">       </w:t>
      </w:r>
      <w:r w:rsidRPr="00513629">
        <w:rPr>
          <w:rFonts w:ascii="Times New Roman" w:hAnsi="Times New Roman" w:cs="Times New Roman"/>
          <w:sz w:val="24"/>
          <w:szCs w:val="24"/>
        </w:rPr>
        <w:t xml:space="preserve"> (3)</w:t>
      </w:r>
    </w:p>
    <w:p w14:paraId="6A704BA8" w14:textId="77777777" w:rsidR="004367EC" w:rsidRPr="00513629" w:rsidRDefault="004367EC" w:rsidP="004367EC">
      <w:pPr>
        <w:spacing w:line="480" w:lineRule="auto"/>
        <w:ind w:firstLineChars="200" w:firstLine="480"/>
        <w:rPr>
          <w:rFonts w:ascii="Times New Roman" w:hAnsi="Times New Roman" w:cs="Times New Roman"/>
          <w:sz w:val="24"/>
          <w:szCs w:val="24"/>
        </w:rPr>
      </w:pPr>
      <w:r w:rsidRPr="00513629">
        <w:rPr>
          <w:rFonts w:ascii="Times New Roman" w:hAnsi="Times New Roman" w:cs="Times New Roman"/>
          <w:sz w:val="24"/>
          <w:szCs w:val="24"/>
        </w:rPr>
        <w:t>Relative share (P) of PS II absorbed light energy for photochemical reaction:</w:t>
      </w:r>
    </w:p>
    <w:p w14:paraId="71135A79" w14:textId="187EFD69" w:rsidR="004367EC" w:rsidRPr="00513629" w:rsidRDefault="004367EC" w:rsidP="004367EC">
      <w:pPr>
        <w:spacing w:line="480" w:lineRule="auto"/>
        <w:ind w:firstLineChars="200" w:firstLine="480"/>
        <w:jc w:val="center"/>
        <w:rPr>
          <w:rFonts w:ascii="Times New Roman" w:hAnsi="Times New Roman" w:cs="Times New Roman"/>
          <w:sz w:val="24"/>
          <w:szCs w:val="24"/>
        </w:rPr>
      </w:pPr>
      <w:r w:rsidRPr="00513629">
        <w:rPr>
          <w:rFonts w:ascii="Times New Roman" w:hAnsi="Times New Roman" w:cs="Times New Roman"/>
          <w:sz w:val="24"/>
          <w:szCs w:val="24"/>
        </w:rPr>
        <w:t xml:space="preserve">P = Fv’ / Fm’ × qP             </w:t>
      </w:r>
      <w:r w:rsidR="003C3D27">
        <w:rPr>
          <w:rFonts w:ascii="Times New Roman" w:hAnsi="Times New Roman" w:cs="Times New Roman"/>
          <w:sz w:val="24"/>
          <w:szCs w:val="24"/>
        </w:rPr>
        <w:t xml:space="preserve">           </w:t>
      </w:r>
      <w:r w:rsidRPr="00513629">
        <w:rPr>
          <w:rFonts w:ascii="Times New Roman" w:hAnsi="Times New Roman" w:cs="Times New Roman"/>
          <w:sz w:val="24"/>
          <w:szCs w:val="24"/>
        </w:rPr>
        <w:t xml:space="preserve">   (4)</w:t>
      </w:r>
    </w:p>
    <w:p w14:paraId="0E82CA1F" w14:textId="77777777" w:rsidR="004367EC" w:rsidRPr="00513629" w:rsidRDefault="004367EC" w:rsidP="004367EC">
      <w:pPr>
        <w:spacing w:line="480" w:lineRule="auto"/>
        <w:ind w:firstLineChars="200" w:firstLine="480"/>
        <w:rPr>
          <w:rFonts w:ascii="Times New Roman" w:hAnsi="Times New Roman" w:cs="Times New Roman"/>
          <w:sz w:val="24"/>
          <w:szCs w:val="24"/>
        </w:rPr>
      </w:pPr>
      <w:r w:rsidRPr="00513629">
        <w:rPr>
          <w:rFonts w:ascii="Times New Roman" w:hAnsi="Times New Roman" w:cs="Times New Roman"/>
          <w:sz w:val="24"/>
          <w:szCs w:val="24"/>
        </w:rPr>
        <w:t>Where:</w:t>
      </w:r>
    </w:p>
    <w:p w14:paraId="4A90CBF8" w14:textId="77777777" w:rsidR="004367EC" w:rsidRPr="00513629" w:rsidRDefault="004367EC" w:rsidP="004367EC">
      <w:pPr>
        <w:spacing w:line="480" w:lineRule="auto"/>
        <w:ind w:firstLineChars="200" w:firstLine="480"/>
        <w:rPr>
          <w:rFonts w:ascii="Times New Roman" w:hAnsi="Times New Roman" w:cs="Times New Roman"/>
          <w:sz w:val="24"/>
          <w:szCs w:val="24"/>
        </w:rPr>
      </w:pPr>
      <w:r w:rsidRPr="00513629">
        <w:rPr>
          <w:rFonts w:ascii="Times New Roman" w:hAnsi="Times New Roman" w:cs="Times New Roman"/>
          <w:sz w:val="24"/>
          <w:szCs w:val="24"/>
        </w:rPr>
        <w:t>F</w:t>
      </w:r>
      <w:r w:rsidRPr="00513629">
        <w:rPr>
          <w:rFonts w:ascii="Times New Roman" w:hAnsi="Times New Roman" w:cs="Times New Roman" w:hint="eastAsia"/>
          <w:sz w:val="24"/>
          <w:szCs w:val="24"/>
        </w:rPr>
        <w:t>o</w:t>
      </w:r>
      <w:r w:rsidRPr="00513629">
        <w:rPr>
          <w:rFonts w:ascii="Times New Roman" w:hAnsi="Times New Roman" w:cs="Times New Roman"/>
          <w:sz w:val="24"/>
          <w:szCs w:val="24"/>
        </w:rPr>
        <w:t>, minimum fluorescence yield under dark adaptation</w:t>
      </w:r>
    </w:p>
    <w:p w14:paraId="2FEDD897" w14:textId="77777777" w:rsidR="004367EC" w:rsidRPr="00513629" w:rsidRDefault="004367EC" w:rsidP="004367EC">
      <w:pPr>
        <w:spacing w:line="480" w:lineRule="auto"/>
        <w:ind w:firstLineChars="200" w:firstLine="480"/>
        <w:rPr>
          <w:rFonts w:ascii="Times New Roman" w:hAnsi="Times New Roman" w:cs="Times New Roman"/>
          <w:sz w:val="24"/>
          <w:szCs w:val="24"/>
        </w:rPr>
      </w:pPr>
      <w:r w:rsidRPr="00513629">
        <w:rPr>
          <w:rFonts w:ascii="Times New Roman" w:hAnsi="Times New Roman" w:cs="Times New Roman"/>
          <w:sz w:val="24"/>
          <w:szCs w:val="24"/>
        </w:rPr>
        <w:t>Fv, initial fluorescence</w:t>
      </w:r>
    </w:p>
    <w:p w14:paraId="529AD71F" w14:textId="77777777" w:rsidR="004367EC" w:rsidRPr="00513629" w:rsidRDefault="004367EC" w:rsidP="004367EC">
      <w:pPr>
        <w:spacing w:line="480" w:lineRule="auto"/>
        <w:ind w:firstLineChars="200" w:firstLine="480"/>
        <w:rPr>
          <w:rFonts w:ascii="Times New Roman" w:hAnsi="Times New Roman" w:cs="Times New Roman"/>
          <w:sz w:val="24"/>
          <w:szCs w:val="24"/>
        </w:rPr>
      </w:pPr>
      <w:r w:rsidRPr="00513629">
        <w:rPr>
          <w:rFonts w:ascii="Times New Roman" w:hAnsi="Times New Roman" w:cs="Times New Roman"/>
          <w:sz w:val="24"/>
          <w:szCs w:val="24"/>
        </w:rPr>
        <w:t>Fo': minimum fluorescence yield under light adaptation</w:t>
      </w:r>
    </w:p>
    <w:p w14:paraId="193B97EE" w14:textId="77777777" w:rsidR="004367EC" w:rsidRPr="00513629" w:rsidRDefault="004367EC" w:rsidP="004367EC">
      <w:pPr>
        <w:spacing w:line="480" w:lineRule="auto"/>
        <w:ind w:firstLineChars="200" w:firstLine="480"/>
        <w:rPr>
          <w:rFonts w:ascii="Times New Roman" w:hAnsi="Times New Roman" w:cs="Times New Roman"/>
          <w:sz w:val="24"/>
          <w:szCs w:val="24"/>
        </w:rPr>
      </w:pPr>
      <w:r w:rsidRPr="00513629">
        <w:rPr>
          <w:rFonts w:ascii="Times New Roman" w:hAnsi="Times New Roman" w:cs="Times New Roman"/>
          <w:sz w:val="24"/>
          <w:szCs w:val="24"/>
        </w:rPr>
        <w:t>Fm': the maximum fluorescence yield under light adaptation</w:t>
      </w:r>
    </w:p>
    <w:p w14:paraId="7BAFEBDF" w14:textId="7AC235A5" w:rsidR="00F710D4" w:rsidRDefault="004367EC" w:rsidP="00F710D4">
      <w:pPr>
        <w:spacing w:line="480" w:lineRule="auto"/>
        <w:ind w:firstLineChars="200" w:firstLine="480"/>
        <w:rPr>
          <w:rFonts w:ascii="Times New Roman" w:hAnsi="Times New Roman" w:cs="Times New Roman"/>
          <w:sz w:val="24"/>
          <w:szCs w:val="24"/>
        </w:rPr>
      </w:pPr>
      <w:r w:rsidRPr="00513629">
        <w:rPr>
          <w:rFonts w:ascii="Times New Roman" w:hAnsi="Times New Roman" w:cs="Times New Roman"/>
          <w:sz w:val="24"/>
          <w:szCs w:val="24"/>
        </w:rPr>
        <w:t>qP is photochemical quenching coefficient qP = (Fm'–Fs)/ (Fm'–Fo')]</w:t>
      </w:r>
    </w:p>
    <w:p w14:paraId="0790F6A7" w14:textId="651AE127" w:rsidR="00F710D4" w:rsidRDefault="00F710D4" w:rsidP="00F710D4">
      <w:pPr>
        <w:spacing w:line="480" w:lineRule="auto"/>
        <w:ind w:firstLineChars="200" w:firstLine="480"/>
        <w:rPr>
          <w:rFonts w:ascii="Times New Roman" w:hAnsi="Times New Roman" w:cs="Times New Roman"/>
          <w:sz w:val="24"/>
          <w:szCs w:val="24"/>
        </w:rPr>
      </w:pPr>
    </w:p>
    <w:p w14:paraId="533C8842" w14:textId="544425D1" w:rsidR="00FC0D70" w:rsidRDefault="00FC0D70" w:rsidP="00F710D4">
      <w:pPr>
        <w:spacing w:line="480" w:lineRule="auto"/>
        <w:ind w:firstLineChars="200" w:firstLine="480"/>
        <w:rPr>
          <w:rFonts w:ascii="Times New Roman" w:hAnsi="Times New Roman" w:cs="Times New Roman"/>
          <w:sz w:val="24"/>
          <w:szCs w:val="24"/>
        </w:rPr>
      </w:pPr>
    </w:p>
    <w:p w14:paraId="556B9499" w14:textId="77777777" w:rsidR="00FC0D70" w:rsidRDefault="00FC0D70" w:rsidP="00F710D4">
      <w:pPr>
        <w:spacing w:line="480" w:lineRule="auto"/>
        <w:ind w:firstLineChars="200" w:firstLine="480"/>
        <w:rPr>
          <w:rFonts w:ascii="Times New Roman" w:hAnsi="Times New Roman" w:cs="Times New Roman" w:hint="eastAsia"/>
          <w:sz w:val="24"/>
          <w:szCs w:val="24"/>
        </w:rPr>
      </w:pPr>
    </w:p>
    <w:p w14:paraId="3ACC1B69" w14:textId="77777777" w:rsidR="00904914" w:rsidRDefault="00904914" w:rsidP="00F710D4">
      <w:pPr>
        <w:rPr>
          <w:rFonts w:ascii="Times New Roman" w:hAnsi="Times New Roman" w:cs="Times New Roman"/>
          <w:b/>
          <w:sz w:val="24"/>
        </w:rPr>
      </w:pPr>
    </w:p>
    <w:p w14:paraId="784484A5" w14:textId="73847010" w:rsidR="00E838BE" w:rsidRDefault="00E838BE" w:rsidP="00F710D4">
      <w:pPr>
        <w:rPr>
          <w:rFonts w:ascii="Times New Roman" w:hAnsi="Times New Roman" w:cs="Times New Roman"/>
          <w:sz w:val="24"/>
        </w:rPr>
      </w:pPr>
      <w:r w:rsidRPr="00FC0D70">
        <w:rPr>
          <w:rFonts w:ascii="Times New Roman" w:hAnsi="Times New Roman" w:cs="Times New Roman"/>
          <w:b/>
          <w:sz w:val="24"/>
        </w:rPr>
        <w:t xml:space="preserve">Table </w:t>
      </w:r>
      <w:r w:rsidR="00073F44" w:rsidRPr="00FC0D70">
        <w:rPr>
          <w:rFonts w:ascii="Times New Roman" w:hAnsi="Times New Roman" w:cs="Times New Roman"/>
          <w:b/>
          <w:sz w:val="24"/>
        </w:rPr>
        <w:t>S1</w:t>
      </w:r>
      <w:r w:rsidRPr="00FC0D70">
        <w:rPr>
          <w:rFonts w:ascii="Times New Roman" w:hAnsi="Times New Roman" w:cs="Times New Roman"/>
          <w:b/>
          <w:sz w:val="24"/>
        </w:rPr>
        <w:t xml:space="preserve"> </w:t>
      </w:r>
      <w:r w:rsidRPr="00FC0D70">
        <w:rPr>
          <w:rFonts w:ascii="Times New Roman" w:hAnsi="Times New Roman" w:cs="Times New Roman"/>
          <w:sz w:val="24"/>
        </w:rPr>
        <w:t>Effects of treatments on chlorophyll fluorescence parameters of the chlorosis pear seedlings.</w:t>
      </w:r>
    </w:p>
    <w:p w14:paraId="779A3F89" w14:textId="77777777" w:rsidR="00904914" w:rsidRPr="00FC0D70" w:rsidRDefault="00904914" w:rsidP="00F710D4">
      <w:pPr>
        <w:rPr>
          <w:rFonts w:ascii="Times New Roman" w:hAnsi="Times New Roman" w:cs="Times New Roman"/>
          <w:sz w:val="24"/>
        </w:rPr>
      </w:pPr>
    </w:p>
    <w:tbl>
      <w:tblPr>
        <w:tblW w:w="10566" w:type="dxa"/>
        <w:tblInd w:w="-1127" w:type="dxa"/>
        <w:tblLayout w:type="fixed"/>
        <w:tblLook w:val="04A0" w:firstRow="1" w:lastRow="0" w:firstColumn="1" w:lastColumn="0" w:noHBand="0" w:noVBand="1"/>
      </w:tblPr>
      <w:tblGrid>
        <w:gridCol w:w="1168"/>
        <w:gridCol w:w="1134"/>
        <w:gridCol w:w="1134"/>
        <w:gridCol w:w="1418"/>
        <w:gridCol w:w="1460"/>
        <w:gridCol w:w="1417"/>
        <w:gridCol w:w="1418"/>
        <w:gridCol w:w="1417"/>
      </w:tblGrid>
      <w:tr w:rsidR="00E838BE" w:rsidRPr="00513629" w14:paraId="097F0C6E" w14:textId="77777777" w:rsidTr="00583AB6">
        <w:trPr>
          <w:trHeight w:val="510"/>
        </w:trPr>
        <w:tc>
          <w:tcPr>
            <w:tcW w:w="1168" w:type="dxa"/>
            <w:tcBorders>
              <w:top w:val="single" w:sz="12" w:space="0" w:color="auto"/>
              <w:left w:val="nil"/>
              <w:bottom w:val="single" w:sz="8" w:space="0" w:color="auto"/>
              <w:right w:val="nil"/>
            </w:tcBorders>
            <w:shd w:val="clear" w:color="auto" w:fill="auto"/>
            <w:vAlign w:val="center"/>
            <w:hideMark/>
          </w:tcPr>
          <w:p w14:paraId="77A19D22"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宋体" w:hAnsi="Times New Roman" w:cs="Times New Roman"/>
                <w:kern w:val="0"/>
                <w:sz w:val="20"/>
                <w:szCs w:val="24"/>
              </w:rPr>
              <w:t>Treatment</w:t>
            </w:r>
            <w:r w:rsidRPr="00513629">
              <w:rPr>
                <w:rFonts w:ascii="Times New Roman" w:eastAsia="宋体" w:hAnsi="Times New Roman" w:cs="Times New Roman"/>
                <w:kern w:val="0"/>
                <w:sz w:val="20"/>
                <w:szCs w:val="24"/>
                <w:vertAlign w:val="superscript"/>
              </w:rPr>
              <w:t>*</w:t>
            </w:r>
          </w:p>
        </w:tc>
        <w:tc>
          <w:tcPr>
            <w:tcW w:w="1134" w:type="dxa"/>
            <w:tcBorders>
              <w:top w:val="single" w:sz="12" w:space="0" w:color="auto"/>
              <w:left w:val="nil"/>
              <w:bottom w:val="single" w:sz="8" w:space="0" w:color="auto"/>
              <w:right w:val="nil"/>
            </w:tcBorders>
            <w:shd w:val="clear" w:color="auto" w:fill="auto"/>
            <w:vAlign w:val="center"/>
            <w:hideMark/>
          </w:tcPr>
          <w:p w14:paraId="0E161079"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宋体" w:hAnsi="Times New Roman" w:cs="Times New Roman"/>
                <w:kern w:val="0"/>
                <w:sz w:val="20"/>
                <w:szCs w:val="24"/>
              </w:rPr>
              <w:t>Fo</w:t>
            </w:r>
          </w:p>
        </w:tc>
        <w:tc>
          <w:tcPr>
            <w:tcW w:w="1134" w:type="dxa"/>
            <w:tcBorders>
              <w:top w:val="single" w:sz="12" w:space="0" w:color="auto"/>
              <w:left w:val="nil"/>
              <w:bottom w:val="single" w:sz="8" w:space="0" w:color="auto"/>
              <w:right w:val="nil"/>
            </w:tcBorders>
            <w:shd w:val="clear" w:color="auto" w:fill="auto"/>
            <w:vAlign w:val="center"/>
            <w:hideMark/>
          </w:tcPr>
          <w:p w14:paraId="7F82B3D1"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宋体" w:hAnsi="Times New Roman" w:cs="Times New Roman"/>
                <w:kern w:val="0"/>
                <w:sz w:val="20"/>
                <w:szCs w:val="24"/>
              </w:rPr>
              <w:t>Fm</w:t>
            </w:r>
          </w:p>
        </w:tc>
        <w:tc>
          <w:tcPr>
            <w:tcW w:w="1418" w:type="dxa"/>
            <w:tcBorders>
              <w:top w:val="single" w:sz="12" w:space="0" w:color="auto"/>
              <w:left w:val="nil"/>
              <w:bottom w:val="single" w:sz="8" w:space="0" w:color="auto"/>
              <w:right w:val="nil"/>
            </w:tcBorders>
            <w:shd w:val="clear" w:color="auto" w:fill="auto"/>
            <w:vAlign w:val="center"/>
            <w:hideMark/>
          </w:tcPr>
          <w:p w14:paraId="54394C2A"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宋体" w:hAnsi="Times New Roman" w:cs="Times New Roman"/>
                <w:kern w:val="0"/>
                <w:sz w:val="20"/>
                <w:szCs w:val="24"/>
              </w:rPr>
              <w:t>Fv/Fm</w:t>
            </w:r>
          </w:p>
        </w:tc>
        <w:tc>
          <w:tcPr>
            <w:tcW w:w="1460" w:type="dxa"/>
            <w:tcBorders>
              <w:top w:val="single" w:sz="12" w:space="0" w:color="auto"/>
              <w:left w:val="nil"/>
              <w:bottom w:val="single" w:sz="8" w:space="0" w:color="auto"/>
              <w:right w:val="nil"/>
            </w:tcBorders>
            <w:shd w:val="clear" w:color="auto" w:fill="auto"/>
            <w:vAlign w:val="center"/>
            <w:hideMark/>
          </w:tcPr>
          <w:p w14:paraId="352BCF2F"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宋体" w:hAnsi="Times New Roman" w:cs="Times New Roman"/>
                <w:kern w:val="0"/>
                <w:sz w:val="20"/>
                <w:szCs w:val="24"/>
              </w:rPr>
              <w:t>ΦPS Ⅱ</w:t>
            </w:r>
          </w:p>
        </w:tc>
        <w:tc>
          <w:tcPr>
            <w:tcW w:w="1417" w:type="dxa"/>
            <w:tcBorders>
              <w:top w:val="single" w:sz="12" w:space="0" w:color="auto"/>
              <w:left w:val="nil"/>
              <w:bottom w:val="single" w:sz="8" w:space="0" w:color="auto"/>
              <w:right w:val="nil"/>
            </w:tcBorders>
            <w:shd w:val="clear" w:color="auto" w:fill="auto"/>
            <w:vAlign w:val="center"/>
            <w:hideMark/>
          </w:tcPr>
          <w:p w14:paraId="6CB81570"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宋体" w:hAnsi="Times New Roman" w:cs="Times New Roman"/>
                <w:kern w:val="0"/>
                <w:sz w:val="20"/>
                <w:szCs w:val="24"/>
              </w:rPr>
              <w:t>NPQ</w:t>
            </w:r>
          </w:p>
        </w:tc>
        <w:tc>
          <w:tcPr>
            <w:tcW w:w="1418" w:type="dxa"/>
            <w:tcBorders>
              <w:top w:val="single" w:sz="12" w:space="0" w:color="auto"/>
              <w:left w:val="nil"/>
              <w:bottom w:val="single" w:sz="8" w:space="0" w:color="auto"/>
              <w:right w:val="nil"/>
            </w:tcBorders>
            <w:shd w:val="clear" w:color="auto" w:fill="auto"/>
            <w:vAlign w:val="center"/>
            <w:hideMark/>
          </w:tcPr>
          <w:p w14:paraId="6D1B61F2"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宋体" w:hAnsi="Times New Roman" w:cs="Times New Roman"/>
                <w:kern w:val="0"/>
                <w:sz w:val="20"/>
                <w:szCs w:val="24"/>
              </w:rPr>
              <w:t>qP</w:t>
            </w:r>
          </w:p>
        </w:tc>
        <w:tc>
          <w:tcPr>
            <w:tcW w:w="1417" w:type="dxa"/>
            <w:tcBorders>
              <w:top w:val="single" w:sz="12" w:space="0" w:color="auto"/>
              <w:left w:val="nil"/>
              <w:bottom w:val="single" w:sz="8" w:space="0" w:color="auto"/>
              <w:right w:val="nil"/>
            </w:tcBorders>
            <w:shd w:val="clear" w:color="auto" w:fill="auto"/>
            <w:vAlign w:val="center"/>
            <w:hideMark/>
          </w:tcPr>
          <w:p w14:paraId="4E896F48"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宋体" w:hAnsi="Times New Roman" w:cs="Times New Roman"/>
                <w:kern w:val="0"/>
                <w:sz w:val="20"/>
                <w:szCs w:val="24"/>
              </w:rPr>
              <w:t>P</w:t>
            </w:r>
          </w:p>
        </w:tc>
      </w:tr>
      <w:tr w:rsidR="00E838BE" w:rsidRPr="00513629" w14:paraId="7DF52455" w14:textId="77777777" w:rsidTr="00583AB6">
        <w:trPr>
          <w:trHeight w:val="510"/>
        </w:trPr>
        <w:tc>
          <w:tcPr>
            <w:tcW w:w="1168" w:type="dxa"/>
            <w:tcBorders>
              <w:top w:val="nil"/>
              <w:left w:val="nil"/>
              <w:bottom w:val="nil"/>
              <w:right w:val="nil"/>
            </w:tcBorders>
            <w:shd w:val="clear" w:color="auto" w:fill="auto"/>
            <w:vAlign w:val="center"/>
            <w:hideMark/>
          </w:tcPr>
          <w:p w14:paraId="6A0C8152"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CK</w:t>
            </w:r>
          </w:p>
        </w:tc>
        <w:tc>
          <w:tcPr>
            <w:tcW w:w="1134" w:type="dxa"/>
            <w:tcBorders>
              <w:top w:val="nil"/>
              <w:left w:val="nil"/>
              <w:bottom w:val="nil"/>
              <w:right w:val="nil"/>
            </w:tcBorders>
            <w:shd w:val="clear" w:color="auto" w:fill="auto"/>
            <w:vAlign w:val="center"/>
            <w:hideMark/>
          </w:tcPr>
          <w:p w14:paraId="7CCA0AD1"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434±13a**</w:t>
            </w:r>
          </w:p>
        </w:tc>
        <w:tc>
          <w:tcPr>
            <w:tcW w:w="1134" w:type="dxa"/>
            <w:tcBorders>
              <w:top w:val="nil"/>
              <w:left w:val="nil"/>
              <w:bottom w:val="nil"/>
              <w:right w:val="nil"/>
            </w:tcBorders>
            <w:shd w:val="clear" w:color="auto" w:fill="auto"/>
            <w:vAlign w:val="center"/>
            <w:hideMark/>
          </w:tcPr>
          <w:p w14:paraId="6E0DE092"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1333±27c</w:t>
            </w:r>
          </w:p>
        </w:tc>
        <w:tc>
          <w:tcPr>
            <w:tcW w:w="1418" w:type="dxa"/>
            <w:tcBorders>
              <w:top w:val="nil"/>
              <w:left w:val="nil"/>
              <w:bottom w:val="nil"/>
              <w:right w:val="nil"/>
            </w:tcBorders>
            <w:shd w:val="clear" w:color="auto" w:fill="auto"/>
            <w:vAlign w:val="center"/>
            <w:hideMark/>
          </w:tcPr>
          <w:p w14:paraId="256D2991"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0.674±0.011b</w:t>
            </w:r>
          </w:p>
        </w:tc>
        <w:tc>
          <w:tcPr>
            <w:tcW w:w="1460" w:type="dxa"/>
            <w:tcBorders>
              <w:top w:val="nil"/>
              <w:left w:val="nil"/>
              <w:bottom w:val="nil"/>
              <w:right w:val="nil"/>
            </w:tcBorders>
            <w:shd w:val="clear" w:color="auto" w:fill="auto"/>
            <w:vAlign w:val="center"/>
            <w:hideMark/>
          </w:tcPr>
          <w:p w14:paraId="67E06223"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0.071±0.004c</w:t>
            </w:r>
          </w:p>
        </w:tc>
        <w:tc>
          <w:tcPr>
            <w:tcW w:w="1417" w:type="dxa"/>
            <w:tcBorders>
              <w:top w:val="nil"/>
              <w:left w:val="nil"/>
              <w:bottom w:val="nil"/>
              <w:right w:val="nil"/>
            </w:tcBorders>
            <w:shd w:val="clear" w:color="auto" w:fill="auto"/>
            <w:vAlign w:val="center"/>
            <w:hideMark/>
          </w:tcPr>
          <w:p w14:paraId="2621B6FA"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0.310±0.058a</w:t>
            </w:r>
          </w:p>
        </w:tc>
        <w:tc>
          <w:tcPr>
            <w:tcW w:w="1418" w:type="dxa"/>
            <w:tcBorders>
              <w:top w:val="nil"/>
              <w:left w:val="nil"/>
              <w:bottom w:val="nil"/>
              <w:right w:val="nil"/>
            </w:tcBorders>
            <w:shd w:val="clear" w:color="auto" w:fill="auto"/>
            <w:vAlign w:val="center"/>
            <w:hideMark/>
          </w:tcPr>
          <w:p w14:paraId="76755BA0"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0.103±0.004c</w:t>
            </w:r>
          </w:p>
        </w:tc>
        <w:tc>
          <w:tcPr>
            <w:tcW w:w="1417" w:type="dxa"/>
            <w:tcBorders>
              <w:top w:val="nil"/>
              <w:left w:val="nil"/>
              <w:bottom w:val="nil"/>
              <w:right w:val="nil"/>
            </w:tcBorders>
            <w:shd w:val="clear" w:color="auto" w:fill="auto"/>
            <w:vAlign w:val="center"/>
            <w:hideMark/>
          </w:tcPr>
          <w:p w14:paraId="0F48FBEB"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0.071±0.004c</w:t>
            </w:r>
          </w:p>
        </w:tc>
      </w:tr>
      <w:tr w:rsidR="00E838BE" w:rsidRPr="00513629" w14:paraId="388AF80A" w14:textId="77777777" w:rsidTr="00583AB6">
        <w:trPr>
          <w:trHeight w:val="510"/>
        </w:trPr>
        <w:tc>
          <w:tcPr>
            <w:tcW w:w="1168" w:type="dxa"/>
            <w:tcBorders>
              <w:top w:val="nil"/>
              <w:left w:val="nil"/>
              <w:bottom w:val="nil"/>
              <w:right w:val="nil"/>
            </w:tcBorders>
            <w:shd w:val="clear" w:color="auto" w:fill="auto"/>
            <w:vAlign w:val="center"/>
            <w:hideMark/>
          </w:tcPr>
          <w:p w14:paraId="407FD966"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T1</w:t>
            </w:r>
          </w:p>
        </w:tc>
        <w:tc>
          <w:tcPr>
            <w:tcW w:w="1134" w:type="dxa"/>
            <w:tcBorders>
              <w:top w:val="nil"/>
              <w:left w:val="nil"/>
              <w:bottom w:val="nil"/>
              <w:right w:val="nil"/>
            </w:tcBorders>
            <w:shd w:val="clear" w:color="auto" w:fill="auto"/>
            <w:vAlign w:val="center"/>
            <w:hideMark/>
          </w:tcPr>
          <w:p w14:paraId="03C3F619"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242±6b</w:t>
            </w:r>
          </w:p>
        </w:tc>
        <w:tc>
          <w:tcPr>
            <w:tcW w:w="1134" w:type="dxa"/>
            <w:tcBorders>
              <w:top w:val="nil"/>
              <w:left w:val="nil"/>
              <w:bottom w:val="nil"/>
              <w:right w:val="nil"/>
            </w:tcBorders>
            <w:shd w:val="clear" w:color="auto" w:fill="auto"/>
            <w:vAlign w:val="center"/>
            <w:hideMark/>
          </w:tcPr>
          <w:p w14:paraId="0FC4E0F8"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1451±22b</w:t>
            </w:r>
          </w:p>
        </w:tc>
        <w:tc>
          <w:tcPr>
            <w:tcW w:w="1418" w:type="dxa"/>
            <w:tcBorders>
              <w:top w:val="nil"/>
              <w:left w:val="nil"/>
              <w:bottom w:val="nil"/>
              <w:right w:val="nil"/>
            </w:tcBorders>
            <w:shd w:val="clear" w:color="auto" w:fill="auto"/>
            <w:vAlign w:val="center"/>
            <w:hideMark/>
          </w:tcPr>
          <w:p w14:paraId="0EF7534D"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0.833±0.005a</w:t>
            </w:r>
          </w:p>
        </w:tc>
        <w:tc>
          <w:tcPr>
            <w:tcW w:w="1460" w:type="dxa"/>
            <w:tcBorders>
              <w:top w:val="nil"/>
              <w:left w:val="nil"/>
              <w:bottom w:val="nil"/>
              <w:right w:val="nil"/>
            </w:tcBorders>
            <w:shd w:val="clear" w:color="auto" w:fill="auto"/>
            <w:vAlign w:val="center"/>
            <w:hideMark/>
          </w:tcPr>
          <w:p w14:paraId="41437635"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0.119±0.004b</w:t>
            </w:r>
          </w:p>
        </w:tc>
        <w:tc>
          <w:tcPr>
            <w:tcW w:w="1417" w:type="dxa"/>
            <w:tcBorders>
              <w:top w:val="nil"/>
              <w:left w:val="nil"/>
              <w:bottom w:val="nil"/>
              <w:right w:val="nil"/>
            </w:tcBorders>
            <w:shd w:val="clear" w:color="auto" w:fill="auto"/>
            <w:vAlign w:val="center"/>
            <w:hideMark/>
          </w:tcPr>
          <w:p w14:paraId="541AA2CC"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0.294±0.021a</w:t>
            </w:r>
          </w:p>
        </w:tc>
        <w:tc>
          <w:tcPr>
            <w:tcW w:w="1418" w:type="dxa"/>
            <w:tcBorders>
              <w:top w:val="nil"/>
              <w:left w:val="nil"/>
              <w:bottom w:val="nil"/>
              <w:right w:val="nil"/>
            </w:tcBorders>
            <w:shd w:val="clear" w:color="auto" w:fill="auto"/>
            <w:vAlign w:val="center"/>
            <w:hideMark/>
          </w:tcPr>
          <w:p w14:paraId="1CE45A42"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0.151±0.005b</w:t>
            </w:r>
          </w:p>
        </w:tc>
        <w:tc>
          <w:tcPr>
            <w:tcW w:w="1417" w:type="dxa"/>
            <w:tcBorders>
              <w:top w:val="nil"/>
              <w:left w:val="nil"/>
              <w:bottom w:val="nil"/>
              <w:right w:val="nil"/>
            </w:tcBorders>
            <w:shd w:val="clear" w:color="auto" w:fill="auto"/>
            <w:vAlign w:val="center"/>
            <w:hideMark/>
          </w:tcPr>
          <w:p w14:paraId="7F6749E6"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0.119±0.004b</w:t>
            </w:r>
          </w:p>
        </w:tc>
      </w:tr>
      <w:tr w:rsidR="00E838BE" w:rsidRPr="00513629" w14:paraId="1CCD9D74" w14:textId="77777777" w:rsidTr="00583AB6">
        <w:trPr>
          <w:trHeight w:val="510"/>
        </w:trPr>
        <w:tc>
          <w:tcPr>
            <w:tcW w:w="1168" w:type="dxa"/>
            <w:tcBorders>
              <w:top w:val="nil"/>
              <w:left w:val="nil"/>
              <w:bottom w:val="nil"/>
              <w:right w:val="nil"/>
            </w:tcBorders>
            <w:shd w:val="clear" w:color="auto" w:fill="auto"/>
            <w:vAlign w:val="center"/>
            <w:hideMark/>
          </w:tcPr>
          <w:p w14:paraId="465A584C"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T2</w:t>
            </w:r>
          </w:p>
        </w:tc>
        <w:tc>
          <w:tcPr>
            <w:tcW w:w="1134" w:type="dxa"/>
            <w:tcBorders>
              <w:top w:val="nil"/>
              <w:left w:val="nil"/>
              <w:bottom w:val="nil"/>
              <w:right w:val="nil"/>
            </w:tcBorders>
            <w:shd w:val="clear" w:color="auto" w:fill="auto"/>
            <w:vAlign w:val="center"/>
            <w:hideMark/>
          </w:tcPr>
          <w:p w14:paraId="12FA2C16"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250±8b</w:t>
            </w:r>
          </w:p>
        </w:tc>
        <w:tc>
          <w:tcPr>
            <w:tcW w:w="1134" w:type="dxa"/>
            <w:tcBorders>
              <w:top w:val="nil"/>
              <w:left w:val="nil"/>
              <w:bottom w:val="nil"/>
              <w:right w:val="nil"/>
            </w:tcBorders>
            <w:shd w:val="clear" w:color="auto" w:fill="auto"/>
            <w:vAlign w:val="center"/>
            <w:hideMark/>
          </w:tcPr>
          <w:p w14:paraId="2279FE9E"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1542±37a</w:t>
            </w:r>
          </w:p>
        </w:tc>
        <w:tc>
          <w:tcPr>
            <w:tcW w:w="1418" w:type="dxa"/>
            <w:tcBorders>
              <w:top w:val="nil"/>
              <w:left w:val="nil"/>
              <w:bottom w:val="nil"/>
              <w:right w:val="nil"/>
            </w:tcBorders>
            <w:shd w:val="clear" w:color="auto" w:fill="auto"/>
            <w:vAlign w:val="center"/>
            <w:hideMark/>
          </w:tcPr>
          <w:p w14:paraId="3D29B6D6"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0.838±0.002a</w:t>
            </w:r>
          </w:p>
        </w:tc>
        <w:tc>
          <w:tcPr>
            <w:tcW w:w="1460" w:type="dxa"/>
            <w:tcBorders>
              <w:top w:val="nil"/>
              <w:left w:val="nil"/>
              <w:bottom w:val="nil"/>
              <w:right w:val="nil"/>
            </w:tcBorders>
            <w:shd w:val="clear" w:color="auto" w:fill="auto"/>
            <w:vAlign w:val="center"/>
            <w:hideMark/>
          </w:tcPr>
          <w:p w14:paraId="0457F581"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0.126±0.004b</w:t>
            </w:r>
          </w:p>
        </w:tc>
        <w:tc>
          <w:tcPr>
            <w:tcW w:w="1417" w:type="dxa"/>
            <w:tcBorders>
              <w:top w:val="nil"/>
              <w:left w:val="nil"/>
              <w:bottom w:val="nil"/>
              <w:right w:val="nil"/>
            </w:tcBorders>
            <w:shd w:val="clear" w:color="auto" w:fill="auto"/>
            <w:vAlign w:val="center"/>
            <w:hideMark/>
          </w:tcPr>
          <w:p w14:paraId="3D720D76"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0.243±0.041a</w:t>
            </w:r>
          </w:p>
        </w:tc>
        <w:tc>
          <w:tcPr>
            <w:tcW w:w="1418" w:type="dxa"/>
            <w:tcBorders>
              <w:top w:val="nil"/>
              <w:left w:val="nil"/>
              <w:bottom w:val="nil"/>
              <w:right w:val="nil"/>
            </w:tcBorders>
            <w:shd w:val="clear" w:color="auto" w:fill="auto"/>
            <w:vAlign w:val="center"/>
            <w:hideMark/>
          </w:tcPr>
          <w:p w14:paraId="5B7B392A"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0.157±0.005b</w:t>
            </w:r>
          </w:p>
        </w:tc>
        <w:tc>
          <w:tcPr>
            <w:tcW w:w="1417" w:type="dxa"/>
            <w:tcBorders>
              <w:top w:val="nil"/>
              <w:left w:val="nil"/>
              <w:bottom w:val="nil"/>
              <w:right w:val="nil"/>
            </w:tcBorders>
            <w:shd w:val="clear" w:color="auto" w:fill="auto"/>
            <w:vAlign w:val="center"/>
            <w:hideMark/>
          </w:tcPr>
          <w:p w14:paraId="214CDD2C"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0.126±0.004b</w:t>
            </w:r>
          </w:p>
        </w:tc>
      </w:tr>
      <w:tr w:rsidR="00E838BE" w:rsidRPr="00513629" w14:paraId="23E092B7" w14:textId="77777777" w:rsidTr="00583AB6">
        <w:trPr>
          <w:trHeight w:val="510"/>
        </w:trPr>
        <w:tc>
          <w:tcPr>
            <w:tcW w:w="1168" w:type="dxa"/>
            <w:tcBorders>
              <w:top w:val="nil"/>
              <w:left w:val="nil"/>
              <w:bottom w:val="nil"/>
              <w:right w:val="nil"/>
            </w:tcBorders>
            <w:shd w:val="clear" w:color="auto" w:fill="auto"/>
            <w:vAlign w:val="center"/>
            <w:hideMark/>
          </w:tcPr>
          <w:p w14:paraId="171E3506"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T3</w:t>
            </w:r>
          </w:p>
        </w:tc>
        <w:tc>
          <w:tcPr>
            <w:tcW w:w="1134" w:type="dxa"/>
            <w:tcBorders>
              <w:top w:val="nil"/>
              <w:left w:val="nil"/>
              <w:bottom w:val="nil"/>
              <w:right w:val="nil"/>
            </w:tcBorders>
            <w:shd w:val="clear" w:color="auto" w:fill="auto"/>
            <w:vAlign w:val="center"/>
            <w:hideMark/>
          </w:tcPr>
          <w:p w14:paraId="7CE4DE66"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249±24b</w:t>
            </w:r>
          </w:p>
        </w:tc>
        <w:tc>
          <w:tcPr>
            <w:tcW w:w="1134" w:type="dxa"/>
            <w:tcBorders>
              <w:top w:val="nil"/>
              <w:left w:val="nil"/>
              <w:bottom w:val="nil"/>
              <w:right w:val="nil"/>
            </w:tcBorders>
            <w:shd w:val="clear" w:color="auto" w:fill="auto"/>
            <w:vAlign w:val="center"/>
            <w:hideMark/>
          </w:tcPr>
          <w:p w14:paraId="7334EA3C"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1557±10a</w:t>
            </w:r>
          </w:p>
        </w:tc>
        <w:tc>
          <w:tcPr>
            <w:tcW w:w="1418" w:type="dxa"/>
            <w:tcBorders>
              <w:top w:val="nil"/>
              <w:left w:val="nil"/>
              <w:bottom w:val="nil"/>
              <w:right w:val="nil"/>
            </w:tcBorders>
            <w:shd w:val="clear" w:color="auto" w:fill="auto"/>
            <w:vAlign w:val="center"/>
            <w:hideMark/>
          </w:tcPr>
          <w:p w14:paraId="500AF150"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0.840±0.016a</w:t>
            </w:r>
          </w:p>
        </w:tc>
        <w:tc>
          <w:tcPr>
            <w:tcW w:w="1460" w:type="dxa"/>
            <w:tcBorders>
              <w:top w:val="nil"/>
              <w:left w:val="nil"/>
              <w:bottom w:val="nil"/>
              <w:right w:val="nil"/>
            </w:tcBorders>
            <w:shd w:val="clear" w:color="auto" w:fill="auto"/>
            <w:vAlign w:val="center"/>
            <w:hideMark/>
          </w:tcPr>
          <w:p w14:paraId="4ED86B18"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0.147±0.010a</w:t>
            </w:r>
          </w:p>
        </w:tc>
        <w:tc>
          <w:tcPr>
            <w:tcW w:w="1417" w:type="dxa"/>
            <w:tcBorders>
              <w:top w:val="nil"/>
              <w:left w:val="nil"/>
              <w:bottom w:val="nil"/>
              <w:right w:val="nil"/>
            </w:tcBorders>
            <w:shd w:val="clear" w:color="auto" w:fill="auto"/>
            <w:vAlign w:val="center"/>
            <w:hideMark/>
          </w:tcPr>
          <w:p w14:paraId="5F915A2C"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0.225±0.026a</w:t>
            </w:r>
          </w:p>
        </w:tc>
        <w:tc>
          <w:tcPr>
            <w:tcW w:w="1418" w:type="dxa"/>
            <w:tcBorders>
              <w:top w:val="nil"/>
              <w:left w:val="nil"/>
              <w:bottom w:val="nil"/>
              <w:right w:val="nil"/>
            </w:tcBorders>
            <w:shd w:val="clear" w:color="auto" w:fill="auto"/>
            <w:vAlign w:val="center"/>
            <w:hideMark/>
          </w:tcPr>
          <w:p w14:paraId="663D3DBF"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0.185±0.012a</w:t>
            </w:r>
          </w:p>
        </w:tc>
        <w:tc>
          <w:tcPr>
            <w:tcW w:w="1417" w:type="dxa"/>
            <w:tcBorders>
              <w:top w:val="nil"/>
              <w:left w:val="nil"/>
              <w:bottom w:val="nil"/>
              <w:right w:val="nil"/>
            </w:tcBorders>
            <w:shd w:val="clear" w:color="auto" w:fill="auto"/>
            <w:vAlign w:val="center"/>
            <w:hideMark/>
          </w:tcPr>
          <w:p w14:paraId="5676BA94"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0.148±0.010a</w:t>
            </w:r>
          </w:p>
        </w:tc>
      </w:tr>
      <w:tr w:rsidR="00E838BE" w:rsidRPr="00513629" w14:paraId="7A49F1FA" w14:textId="77777777" w:rsidTr="00583AB6">
        <w:trPr>
          <w:trHeight w:val="510"/>
        </w:trPr>
        <w:tc>
          <w:tcPr>
            <w:tcW w:w="1168" w:type="dxa"/>
            <w:tcBorders>
              <w:top w:val="nil"/>
              <w:left w:val="nil"/>
              <w:bottom w:val="nil"/>
              <w:right w:val="nil"/>
            </w:tcBorders>
            <w:shd w:val="clear" w:color="auto" w:fill="auto"/>
            <w:vAlign w:val="center"/>
            <w:hideMark/>
          </w:tcPr>
          <w:p w14:paraId="79692CE0"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T4</w:t>
            </w:r>
          </w:p>
        </w:tc>
        <w:tc>
          <w:tcPr>
            <w:tcW w:w="1134" w:type="dxa"/>
            <w:tcBorders>
              <w:top w:val="nil"/>
              <w:left w:val="nil"/>
              <w:bottom w:val="nil"/>
              <w:right w:val="nil"/>
            </w:tcBorders>
            <w:shd w:val="clear" w:color="auto" w:fill="auto"/>
            <w:vAlign w:val="center"/>
            <w:hideMark/>
          </w:tcPr>
          <w:p w14:paraId="52EB88A2"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216±4b</w:t>
            </w:r>
          </w:p>
        </w:tc>
        <w:tc>
          <w:tcPr>
            <w:tcW w:w="1134" w:type="dxa"/>
            <w:tcBorders>
              <w:top w:val="nil"/>
              <w:left w:val="nil"/>
              <w:bottom w:val="nil"/>
              <w:right w:val="nil"/>
            </w:tcBorders>
            <w:shd w:val="clear" w:color="auto" w:fill="auto"/>
            <w:vAlign w:val="center"/>
            <w:hideMark/>
          </w:tcPr>
          <w:p w14:paraId="30E5810D"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1505±30ab</w:t>
            </w:r>
          </w:p>
        </w:tc>
        <w:tc>
          <w:tcPr>
            <w:tcW w:w="1418" w:type="dxa"/>
            <w:tcBorders>
              <w:top w:val="nil"/>
              <w:left w:val="nil"/>
              <w:bottom w:val="nil"/>
              <w:right w:val="nil"/>
            </w:tcBorders>
            <w:shd w:val="clear" w:color="auto" w:fill="auto"/>
            <w:vAlign w:val="center"/>
            <w:hideMark/>
          </w:tcPr>
          <w:p w14:paraId="6F948D29"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0.856±0.001a</w:t>
            </w:r>
          </w:p>
        </w:tc>
        <w:tc>
          <w:tcPr>
            <w:tcW w:w="1460" w:type="dxa"/>
            <w:tcBorders>
              <w:top w:val="nil"/>
              <w:left w:val="nil"/>
              <w:bottom w:val="nil"/>
              <w:right w:val="nil"/>
            </w:tcBorders>
            <w:shd w:val="clear" w:color="auto" w:fill="auto"/>
            <w:vAlign w:val="center"/>
            <w:hideMark/>
          </w:tcPr>
          <w:p w14:paraId="30F85C00"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0.130±0.010ab</w:t>
            </w:r>
          </w:p>
        </w:tc>
        <w:tc>
          <w:tcPr>
            <w:tcW w:w="1417" w:type="dxa"/>
            <w:tcBorders>
              <w:top w:val="nil"/>
              <w:left w:val="nil"/>
              <w:bottom w:val="nil"/>
              <w:right w:val="nil"/>
            </w:tcBorders>
            <w:shd w:val="clear" w:color="auto" w:fill="auto"/>
            <w:vAlign w:val="center"/>
            <w:hideMark/>
          </w:tcPr>
          <w:p w14:paraId="42EE3A73"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0.238±0.050a</w:t>
            </w:r>
          </w:p>
        </w:tc>
        <w:tc>
          <w:tcPr>
            <w:tcW w:w="1418" w:type="dxa"/>
            <w:tcBorders>
              <w:top w:val="nil"/>
              <w:left w:val="nil"/>
              <w:bottom w:val="nil"/>
              <w:right w:val="nil"/>
            </w:tcBorders>
            <w:shd w:val="clear" w:color="auto" w:fill="auto"/>
            <w:vAlign w:val="center"/>
            <w:hideMark/>
          </w:tcPr>
          <w:p w14:paraId="48452E6F"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0.162±0.012ab</w:t>
            </w:r>
          </w:p>
        </w:tc>
        <w:tc>
          <w:tcPr>
            <w:tcW w:w="1417" w:type="dxa"/>
            <w:tcBorders>
              <w:top w:val="nil"/>
              <w:left w:val="nil"/>
              <w:bottom w:val="nil"/>
              <w:right w:val="nil"/>
            </w:tcBorders>
            <w:shd w:val="clear" w:color="auto" w:fill="auto"/>
            <w:vAlign w:val="center"/>
            <w:hideMark/>
          </w:tcPr>
          <w:p w14:paraId="21133E4E"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0.130±0.010ab</w:t>
            </w:r>
          </w:p>
        </w:tc>
      </w:tr>
      <w:tr w:rsidR="00E838BE" w:rsidRPr="00513629" w14:paraId="3DCDCC0A" w14:textId="77777777" w:rsidTr="00583AB6">
        <w:trPr>
          <w:trHeight w:val="510"/>
        </w:trPr>
        <w:tc>
          <w:tcPr>
            <w:tcW w:w="1168" w:type="dxa"/>
            <w:tcBorders>
              <w:top w:val="nil"/>
              <w:left w:val="nil"/>
              <w:bottom w:val="single" w:sz="12" w:space="0" w:color="auto"/>
              <w:right w:val="nil"/>
            </w:tcBorders>
            <w:shd w:val="clear" w:color="auto" w:fill="auto"/>
            <w:vAlign w:val="center"/>
            <w:hideMark/>
          </w:tcPr>
          <w:p w14:paraId="01D4F424"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T5</w:t>
            </w:r>
          </w:p>
        </w:tc>
        <w:tc>
          <w:tcPr>
            <w:tcW w:w="1134" w:type="dxa"/>
            <w:tcBorders>
              <w:top w:val="nil"/>
              <w:left w:val="nil"/>
              <w:bottom w:val="single" w:sz="12" w:space="0" w:color="auto"/>
              <w:right w:val="nil"/>
            </w:tcBorders>
            <w:shd w:val="clear" w:color="auto" w:fill="auto"/>
            <w:vAlign w:val="center"/>
            <w:hideMark/>
          </w:tcPr>
          <w:p w14:paraId="61A6C758"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227±6b</w:t>
            </w:r>
          </w:p>
        </w:tc>
        <w:tc>
          <w:tcPr>
            <w:tcW w:w="1134" w:type="dxa"/>
            <w:tcBorders>
              <w:top w:val="nil"/>
              <w:left w:val="nil"/>
              <w:bottom w:val="single" w:sz="12" w:space="0" w:color="auto"/>
              <w:right w:val="nil"/>
            </w:tcBorders>
            <w:shd w:val="clear" w:color="auto" w:fill="auto"/>
            <w:vAlign w:val="center"/>
            <w:hideMark/>
          </w:tcPr>
          <w:p w14:paraId="563A52A3"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1540±14a</w:t>
            </w:r>
          </w:p>
        </w:tc>
        <w:tc>
          <w:tcPr>
            <w:tcW w:w="1418" w:type="dxa"/>
            <w:tcBorders>
              <w:top w:val="nil"/>
              <w:left w:val="nil"/>
              <w:bottom w:val="single" w:sz="12" w:space="0" w:color="auto"/>
              <w:right w:val="nil"/>
            </w:tcBorders>
            <w:shd w:val="clear" w:color="auto" w:fill="auto"/>
            <w:vAlign w:val="center"/>
            <w:hideMark/>
          </w:tcPr>
          <w:p w14:paraId="168115A1"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0.853±0.005a</w:t>
            </w:r>
          </w:p>
        </w:tc>
        <w:tc>
          <w:tcPr>
            <w:tcW w:w="1460" w:type="dxa"/>
            <w:tcBorders>
              <w:top w:val="nil"/>
              <w:left w:val="nil"/>
              <w:bottom w:val="single" w:sz="12" w:space="0" w:color="auto"/>
              <w:right w:val="nil"/>
            </w:tcBorders>
            <w:shd w:val="clear" w:color="auto" w:fill="auto"/>
            <w:vAlign w:val="center"/>
            <w:hideMark/>
          </w:tcPr>
          <w:p w14:paraId="71276FDE"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0.123±0.006b</w:t>
            </w:r>
          </w:p>
        </w:tc>
        <w:tc>
          <w:tcPr>
            <w:tcW w:w="1417" w:type="dxa"/>
            <w:tcBorders>
              <w:top w:val="nil"/>
              <w:left w:val="nil"/>
              <w:bottom w:val="single" w:sz="12" w:space="0" w:color="auto"/>
              <w:right w:val="nil"/>
            </w:tcBorders>
            <w:shd w:val="clear" w:color="auto" w:fill="auto"/>
            <w:vAlign w:val="center"/>
            <w:hideMark/>
          </w:tcPr>
          <w:p w14:paraId="10FB8233"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0.261±0.014a</w:t>
            </w:r>
          </w:p>
        </w:tc>
        <w:tc>
          <w:tcPr>
            <w:tcW w:w="1418" w:type="dxa"/>
            <w:tcBorders>
              <w:top w:val="nil"/>
              <w:left w:val="nil"/>
              <w:bottom w:val="single" w:sz="12" w:space="0" w:color="auto"/>
              <w:right w:val="nil"/>
            </w:tcBorders>
            <w:shd w:val="clear" w:color="auto" w:fill="auto"/>
            <w:vAlign w:val="center"/>
            <w:hideMark/>
          </w:tcPr>
          <w:p w14:paraId="1BBE9D65"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0.153±0.008b</w:t>
            </w:r>
          </w:p>
        </w:tc>
        <w:tc>
          <w:tcPr>
            <w:tcW w:w="1417" w:type="dxa"/>
            <w:tcBorders>
              <w:top w:val="nil"/>
              <w:left w:val="nil"/>
              <w:bottom w:val="single" w:sz="12" w:space="0" w:color="auto"/>
              <w:right w:val="nil"/>
            </w:tcBorders>
            <w:shd w:val="clear" w:color="auto" w:fill="auto"/>
            <w:vAlign w:val="center"/>
            <w:hideMark/>
          </w:tcPr>
          <w:p w14:paraId="7AA8EE60" w14:textId="77777777" w:rsidR="00E838BE" w:rsidRPr="00513629" w:rsidRDefault="00E838BE" w:rsidP="00583AB6">
            <w:pPr>
              <w:widowControl/>
              <w:adjustRightInd w:val="0"/>
              <w:snapToGrid w:val="0"/>
              <w:jc w:val="center"/>
              <w:rPr>
                <w:rFonts w:ascii="Times New Roman" w:eastAsia="宋体" w:hAnsi="Times New Roman" w:cs="Times New Roman"/>
                <w:kern w:val="0"/>
                <w:sz w:val="20"/>
                <w:szCs w:val="24"/>
              </w:rPr>
            </w:pPr>
            <w:r w:rsidRPr="00513629">
              <w:rPr>
                <w:rFonts w:ascii="Times New Roman" w:eastAsia="微软雅黑" w:hAnsi="Times New Roman" w:cs="Times New Roman"/>
                <w:kern w:val="0"/>
                <w:sz w:val="20"/>
                <w:szCs w:val="24"/>
              </w:rPr>
              <w:t>0.123±0.006b</w:t>
            </w:r>
          </w:p>
        </w:tc>
      </w:tr>
    </w:tbl>
    <w:p w14:paraId="67509A0E" w14:textId="6B8C79E6" w:rsidR="00FC0D70" w:rsidRPr="00FC0D70" w:rsidRDefault="00E838BE" w:rsidP="00FC0D70">
      <w:pPr>
        <w:spacing w:line="360" w:lineRule="auto"/>
        <w:contextualSpacing/>
        <w:rPr>
          <w:rFonts w:ascii="Times New Roman" w:eastAsia="宋体" w:hAnsi="Times New Roman" w:cs="Times New Roman"/>
          <w:sz w:val="22"/>
          <w:szCs w:val="24"/>
        </w:rPr>
      </w:pPr>
      <w:r w:rsidRPr="00FC0D70">
        <w:rPr>
          <w:rFonts w:ascii="Times New Roman" w:eastAsia="宋体" w:hAnsi="Times New Roman" w:cs="Times New Roman"/>
          <w:sz w:val="22"/>
          <w:szCs w:val="24"/>
          <w:vertAlign w:val="superscript"/>
        </w:rPr>
        <w:t>*</w:t>
      </w:r>
      <w:r w:rsidRPr="00FC0D70">
        <w:rPr>
          <w:rFonts w:ascii="Times New Roman" w:eastAsia="宋体" w:hAnsi="Times New Roman" w:cs="Times New Roman"/>
          <w:sz w:val="22"/>
          <w:szCs w:val="24"/>
        </w:rPr>
        <w:t xml:space="preserve"> </w:t>
      </w:r>
      <w:r w:rsidR="009E7F85" w:rsidRPr="00FC0D70">
        <w:rPr>
          <w:rFonts w:ascii="Times New Roman" w:eastAsia="宋体" w:hAnsi="Times New Roman" w:cs="Times New Roman"/>
          <w:sz w:val="22"/>
          <w:szCs w:val="24"/>
        </w:rPr>
        <w:t>CK, DI water; T1, 0.002 mol/L FeSO</w:t>
      </w:r>
      <w:r w:rsidR="009E7F85" w:rsidRPr="00FC0D70">
        <w:rPr>
          <w:rFonts w:ascii="Times New Roman" w:eastAsia="宋体" w:hAnsi="Times New Roman" w:cs="Times New Roman"/>
          <w:sz w:val="22"/>
          <w:szCs w:val="24"/>
          <w:vertAlign w:val="subscript"/>
        </w:rPr>
        <w:t>4</w:t>
      </w:r>
      <w:r w:rsidR="009E7F85" w:rsidRPr="00FC0D70">
        <w:rPr>
          <w:rFonts w:ascii="Times New Roman" w:eastAsia="宋体" w:hAnsi="Times New Roman" w:cs="Times New Roman"/>
          <w:sz w:val="22"/>
          <w:szCs w:val="24"/>
        </w:rPr>
        <w:t xml:space="preserve">; NCFe chelate (T2-T4) were made based on </w:t>
      </w:r>
      <w:r w:rsidR="009E7F85" w:rsidRPr="00FC0D70">
        <w:rPr>
          <w:rFonts w:ascii="Times New Roman" w:eastAsia="宋体" w:hAnsi="Times New Roman" w:cs="Times New Roman"/>
          <w:bCs/>
          <w:kern w:val="0"/>
          <w:sz w:val="22"/>
          <w:szCs w:val="24"/>
        </w:rPr>
        <w:t>charge ratio</w:t>
      </w:r>
      <w:r w:rsidR="009E7F85" w:rsidRPr="00FC0D70">
        <w:rPr>
          <w:rFonts w:ascii="Times New Roman" w:eastAsia="宋体" w:hAnsi="Times New Roman" w:cs="Times New Roman"/>
          <w:sz w:val="22"/>
          <w:szCs w:val="24"/>
        </w:rPr>
        <w:t xml:space="preserve"> of CNC to Fe</w:t>
      </w:r>
      <w:r w:rsidR="009E7F85" w:rsidRPr="00FC0D70">
        <w:rPr>
          <w:rFonts w:ascii="Times New Roman" w:eastAsia="宋体" w:hAnsi="Times New Roman" w:cs="Times New Roman"/>
          <w:bCs/>
          <w:kern w:val="0"/>
          <w:sz w:val="22"/>
          <w:szCs w:val="24"/>
        </w:rPr>
        <w:t>;</w:t>
      </w:r>
      <w:r w:rsidR="009E7F85" w:rsidRPr="00FC0D70">
        <w:rPr>
          <w:rFonts w:ascii="Times New Roman" w:eastAsia="宋体" w:hAnsi="Times New Roman" w:cs="Times New Roman"/>
          <w:sz w:val="22"/>
          <w:szCs w:val="24"/>
        </w:rPr>
        <w:t xml:space="preserve"> T2, 1:300; T3, 1:3000; T4, 1:30000; T5, 0.002 mol/L Fe-EDTA.</w:t>
      </w:r>
    </w:p>
    <w:p w14:paraId="3BCAA879" w14:textId="7FA7E6DD" w:rsidR="00E838BE" w:rsidRPr="00FC0D70" w:rsidRDefault="00E838BE" w:rsidP="00FC0D70">
      <w:pPr>
        <w:spacing w:line="360" w:lineRule="auto"/>
        <w:contextualSpacing/>
        <w:rPr>
          <w:rFonts w:ascii="Times New Roman" w:eastAsia="宋体" w:hAnsi="Times New Roman" w:cs="Times New Roman"/>
          <w:sz w:val="22"/>
          <w:szCs w:val="24"/>
        </w:rPr>
      </w:pPr>
      <w:r w:rsidRPr="00FC0D70">
        <w:rPr>
          <w:rFonts w:ascii="Times New Roman" w:eastAsia="宋体" w:hAnsi="Times New Roman" w:cs="Times New Roman"/>
          <w:sz w:val="22"/>
          <w:szCs w:val="24"/>
          <w:vertAlign w:val="superscript"/>
        </w:rPr>
        <w:t>**</w:t>
      </w:r>
      <w:r w:rsidR="00FC0D70" w:rsidRPr="00FC0D70">
        <w:rPr>
          <w:rFonts w:ascii="Times New Roman" w:eastAsia="宋体" w:hAnsi="Times New Roman" w:cs="Times New Roman"/>
          <w:sz w:val="22"/>
          <w:szCs w:val="24"/>
          <w:vertAlign w:val="superscript"/>
        </w:rPr>
        <w:t xml:space="preserve"> </w:t>
      </w:r>
      <w:r w:rsidRPr="00FC0D70">
        <w:rPr>
          <w:rFonts w:ascii="Times New Roman" w:eastAsia="宋体" w:hAnsi="Times New Roman" w:cs="Times New Roman"/>
          <w:sz w:val="22"/>
          <w:szCs w:val="24"/>
        </w:rPr>
        <w:t xml:space="preserve">Values represented mean ± S.D. of triplicate measurements, significant differences marked with lowercase letters </w:t>
      </w:r>
      <w:r w:rsidR="009E7F85" w:rsidRPr="00FC0D70">
        <w:rPr>
          <w:rFonts w:ascii="Times New Roman" w:eastAsia="宋体" w:hAnsi="Times New Roman" w:cs="Times New Roman"/>
          <w:sz w:val="22"/>
          <w:szCs w:val="24"/>
        </w:rPr>
        <w:t xml:space="preserve">at </w:t>
      </w:r>
      <w:r w:rsidRPr="00FC0D70">
        <w:rPr>
          <w:rFonts w:ascii="Times New Roman" w:eastAsia="宋体" w:hAnsi="Times New Roman" w:cs="Times New Roman"/>
          <w:i/>
          <w:iCs/>
          <w:sz w:val="22"/>
          <w:szCs w:val="24"/>
        </w:rPr>
        <w:t>p</w:t>
      </w:r>
      <w:r w:rsidRPr="00FC0D70">
        <w:rPr>
          <w:rFonts w:ascii="Times New Roman" w:eastAsia="宋体" w:hAnsi="Times New Roman" w:cs="Times New Roman"/>
          <w:sz w:val="22"/>
          <w:szCs w:val="24"/>
        </w:rPr>
        <w:t>&lt;0.05.</w:t>
      </w:r>
    </w:p>
    <w:p w14:paraId="4FD7EC3D" w14:textId="0BE773C8" w:rsidR="00FB6921" w:rsidRPr="009E7F85" w:rsidRDefault="00FB6921"/>
    <w:p w14:paraId="6FDF170D" w14:textId="349E6D84" w:rsidR="00073F44" w:rsidRDefault="00073F44" w:rsidP="00073F44">
      <w:pPr>
        <w:autoSpaceDE w:val="0"/>
        <w:autoSpaceDN w:val="0"/>
        <w:adjustRightInd w:val="0"/>
        <w:spacing w:line="480" w:lineRule="auto"/>
        <w:ind w:firstLine="420"/>
        <w:rPr>
          <w:rFonts w:ascii="Times New Roman" w:eastAsia="宋体" w:hAnsi="Times New Roman" w:cs="Times New Roman"/>
          <w:sz w:val="24"/>
          <w:szCs w:val="24"/>
        </w:rPr>
      </w:pPr>
      <w:r w:rsidRPr="00513629">
        <w:rPr>
          <w:rFonts w:ascii="Times New Roman" w:eastAsia="宋体" w:hAnsi="Times New Roman" w:cs="Times New Roman"/>
          <w:sz w:val="24"/>
          <w:szCs w:val="24"/>
        </w:rPr>
        <w:t xml:space="preserve">From Table </w:t>
      </w:r>
      <w:r w:rsidR="009E7F85">
        <w:rPr>
          <w:rFonts w:ascii="Times New Roman" w:eastAsia="宋体" w:hAnsi="Times New Roman" w:cs="Times New Roman"/>
          <w:sz w:val="24"/>
          <w:szCs w:val="24"/>
        </w:rPr>
        <w:t>S1</w:t>
      </w:r>
      <w:r w:rsidRPr="00513629">
        <w:rPr>
          <w:rFonts w:ascii="Times New Roman" w:eastAsia="宋体" w:hAnsi="Times New Roman" w:cs="Times New Roman"/>
          <w:sz w:val="24"/>
          <w:szCs w:val="24"/>
        </w:rPr>
        <w:t xml:space="preserve"> we can see that NC-Fe chelates </w:t>
      </w:r>
      <w:r w:rsidR="00502D67">
        <w:rPr>
          <w:rFonts w:ascii="Times New Roman" w:eastAsia="宋体" w:hAnsi="Times New Roman" w:cs="Times New Roman" w:hint="eastAsia"/>
          <w:sz w:val="24"/>
          <w:szCs w:val="24"/>
        </w:rPr>
        <w:t>(CN</w:t>
      </w:r>
      <w:r w:rsidR="00FC0D70">
        <w:rPr>
          <w:rFonts w:ascii="Times New Roman" w:eastAsia="宋体" w:hAnsi="Times New Roman" w:cs="Times New Roman"/>
          <w:sz w:val="24"/>
          <w:szCs w:val="24"/>
        </w:rPr>
        <w:t>Fe</w:t>
      </w:r>
      <w:r w:rsidR="00502D67">
        <w:rPr>
          <w:rFonts w:ascii="Times New Roman" w:eastAsia="宋体" w:hAnsi="Times New Roman" w:cs="Times New Roman"/>
          <w:sz w:val="24"/>
          <w:szCs w:val="24"/>
        </w:rPr>
        <w:t>)</w:t>
      </w:r>
      <w:r w:rsidR="00502D67">
        <w:rPr>
          <w:rFonts w:ascii="Times New Roman" w:eastAsia="宋体" w:hAnsi="Times New Roman" w:cs="Times New Roman" w:hint="eastAsia"/>
          <w:sz w:val="24"/>
          <w:szCs w:val="24"/>
        </w:rPr>
        <w:t xml:space="preserve"> </w:t>
      </w:r>
      <w:r w:rsidRPr="00513629">
        <w:rPr>
          <w:rFonts w:ascii="Times New Roman" w:eastAsia="宋体" w:hAnsi="Times New Roman" w:cs="Times New Roman"/>
          <w:sz w:val="24"/>
          <w:szCs w:val="24"/>
        </w:rPr>
        <w:t xml:space="preserve">had a strong potential to promote chlorophyll fluorescence in Fe deficient leaves. The minimal fluorescence of the negative control (DI water) was significantly higher than those of all other treatments. The maximal fluorescence, the actual photochemical efficiency (Φ PS </w:t>
      </w:r>
      <w:r w:rsidRPr="00513629">
        <w:rPr>
          <w:rFonts w:ascii="Times New Roman" w:eastAsia="Yu Gothic UI Semilight" w:hAnsi="Times New Roman" w:cs="Times New Roman"/>
          <w:sz w:val="24"/>
          <w:szCs w:val="24"/>
        </w:rPr>
        <w:t>Ⅱ</w:t>
      </w:r>
      <w:r w:rsidRPr="00513629">
        <w:rPr>
          <w:rFonts w:ascii="Times New Roman" w:eastAsia="宋体" w:hAnsi="Times New Roman" w:cs="Times New Roman"/>
          <w:sz w:val="24"/>
          <w:szCs w:val="24"/>
        </w:rPr>
        <w:t xml:space="preserve">), the photochemical quenching coefficient (qP), and the relative share of light energy absorbed by PS Ⅱ in photochemical reaction (P) were significantly lower in control than those of </w:t>
      </w:r>
      <w:r w:rsidR="009E7F85">
        <w:rPr>
          <w:rFonts w:ascii="Times New Roman" w:eastAsia="宋体" w:hAnsi="Times New Roman" w:cs="Times New Roman"/>
          <w:sz w:val="24"/>
          <w:szCs w:val="24"/>
        </w:rPr>
        <w:t>C</w:t>
      </w:r>
      <w:r w:rsidRPr="00513629">
        <w:rPr>
          <w:rFonts w:ascii="Times New Roman" w:eastAsia="宋体" w:hAnsi="Times New Roman" w:cs="Times New Roman"/>
          <w:sz w:val="24"/>
          <w:szCs w:val="24"/>
        </w:rPr>
        <w:t>NF</w:t>
      </w:r>
      <w:r w:rsidR="00FC0D70">
        <w:rPr>
          <w:rFonts w:ascii="Times New Roman" w:eastAsia="宋体" w:hAnsi="Times New Roman" w:cs="Times New Roman"/>
          <w:sz w:val="24"/>
          <w:szCs w:val="24"/>
        </w:rPr>
        <w:t>e</w:t>
      </w:r>
      <w:r w:rsidRPr="00513629">
        <w:rPr>
          <w:rFonts w:ascii="Times New Roman" w:eastAsia="宋体" w:hAnsi="Times New Roman" w:cs="Times New Roman"/>
          <w:sz w:val="24"/>
          <w:szCs w:val="24"/>
        </w:rPr>
        <w:t xml:space="preserve"> treatments. These results suggested that photosynthesis of pears was disturbed by the aggravation of Fe deficiency stress in control. On the other hand, seedlings treated with the </w:t>
      </w:r>
      <w:r w:rsidR="009E7F85">
        <w:rPr>
          <w:rFonts w:ascii="Times New Roman" w:eastAsia="宋体" w:hAnsi="Times New Roman" w:cs="Times New Roman"/>
          <w:sz w:val="24"/>
          <w:szCs w:val="24"/>
        </w:rPr>
        <w:t>C</w:t>
      </w:r>
      <w:r w:rsidRPr="00513629">
        <w:rPr>
          <w:rFonts w:ascii="Times New Roman" w:eastAsia="宋体" w:hAnsi="Times New Roman" w:cs="Times New Roman"/>
          <w:sz w:val="24"/>
          <w:szCs w:val="24"/>
        </w:rPr>
        <w:t>NF</w:t>
      </w:r>
      <w:r w:rsidR="00FC0D70">
        <w:rPr>
          <w:rFonts w:ascii="Times New Roman" w:eastAsia="宋体" w:hAnsi="Times New Roman" w:cs="Times New Roman"/>
          <w:sz w:val="24"/>
          <w:szCs w:val="24"/>
        </w:rPr>
        <w:t>e</w:t>
      </w:r>
      <w:r w:rsidRPr="00513629">
        <w:rPr>
          <w:rFonts w:ascii="Times New Roman" w:eastAsia="宋体" w:hAnsi="Times New Roman" w:cs="Times New Roman"/>
          <w:sz w:val="24"/>
          <w:szCs w:val="24"/>
        </w:rPr>
        <w:t xml:space="preserve"> formed at the charge ratio of 1:3000 of NC to Fe (T3), the Φ PS Ⅱ, qP and the relative share of light energy absorbed by PS Ⅱ in P were all enhanced dramatically.</w:t>
      </w:r>
    </w:p>
    <w:p w14:paraId="30508229" w14:textId="6D52D62F" w:rsidR="003C3D27" w:rsidRPr="00CA53A3" w:rsidRDefault="003C3D27">
      <w:pPr>
        <w:rPr>
          <w:rFonts w:ascii="Times New Roman" w:hAnsi="Times New Roman" w:cs="Times New Roman"/>
          <w:b/>
          <w:bCs/>
          <w:sz w:val="24"/>
        </w:rPr>
      </w:pPr>
      <w:r w:rsidRPr="00CA53A3">
        <w:rPr>
          <w:rFonts w:ascii="Times New Roman" w:hAnsi="Times New Roman" w:cs="Times New Roman"/>
          <w:b/>
          <w:bCs/>
          <w:sz w:val="24"/>
        </w:rPr>
        <w:lastRenderedPageBreak/>
        <w:t>Reference:</w:t>
      </w:r>
    </w:p>
    <w:p w14:paraId="1DEFB3C6" w14:textId="77777777" w:rsidR="003C3D27" w:rsidRPr="003C3D27" w:rsidRDefault="003C3D27">
      <w:pPr>
        <w:rPr>
          <w:b/>
          <w:bCs/>
        </w:rPr>
      </w:pPr>
    </w:p>
    <w:p w14:paraId="731EA6F5" w14:textId="77777777" w:rsidR="00904914" w:rsidRPr="00904914" w:rsidRDefault="003C3D27" w:rsidP="00904914">
      <w:pPr>
        <w:pStyle w:val="EndNoteBibliography"/>
      </w:pPr>
      <w:r>
        <w:fldChar w:fldCharType="begin"/>
      </w:r>
      <w:r>
        <w:instrText xml:space="preserve"> ADDIN EN.REFLIST </w:instrText>
      </w:r>
      <w:r>
        <w:fldChar w:fldCharType="separate"/>
      </w:r>
      <w:r w:rsidR="00904914" w:rsidRPr="00904914">
        <w:t>1.</w:t>
      </w:r>
      <w:r w:rsidR="00904914" w:rsidRPr="00904914">
        <w:tab/>
        <w:t xml:space="preserve">Mi, G.; Cheng, Z.; Wang, J.; Li, X.; Han, Y.; Li, J., Evaluation of tolerance to low temperature and low light of different tomato varieties by chlorophyll fluorescence parameters (in Chinese with English Abstract). </w:t>
      </w:r>
      <w:r w:rsidR="00904914" w:rsidRPr="00904914">
        <w:rPr>
          <w:i/>
        </w:rPr>
        <w:t xml:space="preserve">J. Henan Agric. Sci. </w:t>
      </w:r>
      <w:r w:rsidR="00904914" w:rsidRPr="00904914">
        <w:rPr>
          <w:b/>
        </w:rPr>
        <w:t>2015</w:t>
      </w:r>
      <w:r w:rsidR="00904914" w:rsidRPr="00904914">
        <w:t xml:space="preserve">, </w:t>
      </w:r>
      <w:r w:rsidR="00904914" w:rsidRPr="00904914">
        <w:rPr>
          <w:i/>
        </w:rPr>
        <w:t>44</w:t>
      </w:r>
      <w:r w:rsidR="00904914" w:rsidRPr="00904914">
        <w:t>, 94-97.</w:t>
      </w:r>
    </w:p>
    <w:p w14:paraId="4951700F" w14:textId="416C4EFA" w:rsidR="00073F44" w:rsidRPr="00073F44" w:rsidRDefault="003C3D27">
      <w:r>
        <w:fldChar w:fldCharType="end"/>
      </w:r>
      <w:bookmarkStart w:id="0" w:name="_GoBack"/>
      <w:bookmarkEnd w:id="0"/>
    </w:p>
    <w:sectPr w:rsidR="00073F44" w:rsidRPr="00073F4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8ED0E0" w14:textId="77777777" w:rsidR="001105B7" w:rsidRDefault="001105B7" w:rsidP="004367EC">
      <w:r>
        <w:separator/>
      </w:r>
    </w:p>
  </w:endnote>
  <w:endnote w:type="continuationSeparator" w:id="0">
    <w:p w14:paraId="64315FDF" w14:textId="77777777" w:rsidR="001105B7" w:rsidRDefault="001105B7" w:rsidP="004367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Yu Gothic UI Semilight">
    <w:panose1 w:val="020B0400000000000000"/>
    <w:charset w:val="80"/>
    <w:family w:val="swiss"/>
    <w:pitch w:val="variable"/>
    <w:sig w:usb0="E00002FF" w:usb1="2AC7FDFF" w:usb2="00000016"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8BFE388" w14:textId="77777777" w:rsidR="001105B7" w:rsidRDefault="001105B7" w:rsidP="004367EC">
      <w:r>
        <w:separator/>
      </w:r>
    </w:p>
  </w:footnote>
  <w:footnote w:type="continuationSeparator" w:id="0">
    <w:p w14:paraId="2C2AC10D" w14:textId="77777777" w:rsidR="001105B7" w:rsidRDefault="001105B7" w:rsidP="004367E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2CE124F"/>
    <w:multiLevelType w:val="hybridMultilevel"/>
    <w:tmpl w:val="03BCC4E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Layout" w:val="&lt;ENLayout&gt;&lt;Style&gt;J Agri Food Chem&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dvet9wwazrsvjedfz359e5kfadpve9z22zt&quot;&gt;Chitosan&lt;record-ids&gt;&lt;item&gt;3319&lt;/item&gt;&lt;/record-ids&gt;&lt;/item&gt;&lt;/Libraries&gt;"/>
  </w:docVars>
  <w:rsids>
    <w:rsidRoot w:val="00E838BE"/>
    <w:rsid w:val="00073F44"/>
    <w:rsid w:val="001105B7"/>
    <w:rsid w:val="00171C8A"/>
    <w:rsid w:val="003C3D27"/>
    <w:rsid w:val="004367EC"/>
    <w:rsid w:val="00502D67"/>
    <w:rsid w:val="005F3F04"/>
    <w:rsid w:val="00904914"/>
    <w:rsid w:val="009E7F85"/>
    <w:rsid w:val="00C377E0"/>
    <w:rsid w:val="00CA53A3"/>
    <w:rsid w:val="00D11ACB"/>
    <w:rsid w:val="00D42048"/>
    <w:rsid w:val="00E838BE"/>
    <w:rsid w:val="00E86666"/>
    <w:rsid w:val="00EC4FF2"/>
    <w:rsid w:val="00F710D4"/>
    <w:rsid w:val="00FB6921"/>
    <w:rsid w:val="00FC0D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7F0145"/>
  <w15:chartTrackingRefBased/>
  <w15:docId w15:val="{229DD246-663D-4D20-948E-4C225E52A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838BE"/>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367E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367EC"/>
    <w:rPr>
      <w:sz w:val="18"/>
      <w:szCs w:val="18"/>
    </w:rPr>
  </w:style>
  <w:style w:type="paragraph" w:styleId="a5">
    <w:name w:val="footer"/>
    <w:basedOn w:val="a"/>
    <w:link w:val="a6"/>
    <w:uiPriority w:val="99"/>
    <w:unhideWhenUsed/>
    <w:rsid w:val="004367EC"/>
    <w:pPr>
      <w:tabs>
        <w:tab w:val="center" w:pos="4153"/>
        <w:tab w:val="right" w:pos="8306"/>
      </w:tabs>
      <w:snapToGrid w:val="0"/>
      <w:jc w:val="left"/>
    </w:pPr>
    <w:rPr>
      <w:sz w:val="18"/>
      <w:szCs w:val="18"/>
    </w:rPr>
  </w:style>
  <w:style w:type="character" w:customStyle="1" w:styleId="a6">
    <w:name w:val="页脚 字符"/>
    <w:basedOn w:val="a0"/>
    <w:link w:val="a5"/>
    <w:uiPriority w:val="99"/>
    <w:rsid w:val="004367EC"/>
    <w:rPr>
      <w:sz w:val="18"/>
      <w:szCs w:val="18"/>
    </w:rPr>
  </w:style>
  <w:style w:type="character" w:styleId="a7">
    <w:name w:val="Hyperlink"/>
    <w:basedOn w:val="a0"/>
    <w:uiPriority w:val="99"/>
    <w:unhideWhenUsed/>
    <w:rsid w:val="00D42048"/>
    <w:rPr>
      <w:color w:val="0563C1" w:themeColor="hyperlink"/>
      <w:u w:val="single"/>
    </w:rPr>
  </w:style>
  <w:style w:type="paragraph" w:styleId="a8">
    <w:name w:val="List Paragraph"/>
    <w:basedOn w:val="a"/>
    <w:uiPriority w:val="34"/>
    <w:qFormat/>
    <w:rsid w:val="00D42048"/>
    <w:pPr>
      <w:ind w:firstLineChars="200" w:firstLine="420"/>
    </w:pPr>
  </w:style>
  <w:style w:type="paragraph" w:customStyle="1" w:styleId="EndNoteBibliographyTitle">
    <w:name w:val="EndNote Bibliography Title"/>
    <w:basedOn w:val="a"/>
    <w:link w:val="EndNoteBibliographyTitle0"/>
    <w:rsid w:val="003C3D27"/>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3C3D27"/>
    <w:rPr>
      <w:rFonts w:ascii="等线" w:eastAsia="等线" w:hAnsi="等线"/>
      <w:noProof/>
      <w:sz w:val="20"/>
    </w:rPr>
  </w:style>
  <w:style w:type="paragraph" w:customStyle="1" w:styleId="EndNoteBibliography">
    <w:name w:val="EndNote Bibliography"/>
    <w:basedOn w:val="a"/>
    <w:link w:val="EndNoteBibliography0"/>
    <w:rsid w:val="003C3D27"/>
    <w:rPr>
      <w:rFonts w:ascii="等线" w:eastAsia="等线" w:hAnsi="等线"/>
      <w:noProof/>
      <w:sz w:val="20"/>
    </w:rPr>
  </w:style>
  <w:style w:type="character" w:customStyle="1" w:styleId="EndNoteBibliography0">
    <w:name w:val="EndNote Bibliography 字符"/>
    <w:basedOn w:val="a0"/>
    <w:link w:val="EndNoteBibliography"/>
    <w:rsid w:val="003C3D27"/>
    <w:rPr>
      <w:rFonts w:ascii="等线" w:eastAsia="等线" w:hAnsi="等线"/>
      <w:noProof/>
      <w:sz w:val="20"/>
    </w:rPr>
  </w:style>
  <w:style w:type="paragraph" w:customStyle="1" w:styleId="BATitle">
    <w:name w:val="BA_Title"/>
    <w:basedOn w:val="a"/>
    <w:next w:val="BBAuthorName"/>
    <w:rsid w:val="00FC0D70"/>
    <w:pPr>
      <w:widowControl/>
      <w:spacing w:before="720" w:after="360" w:line="480" w:lineRule="auto"/>
      <w:jc w:val="center"/>
    </w:pPr>
    <w:rPr>
      <w:rFonts w:ascii="Times New Roman" w:hAnsi="Times New Roman" w:cs="Times New Roman"/>
      <w:kern w:val="0"/>
      <w:sz w:val="44"/>
      <w:szCs w:val="20"/>
      <w:lang w:eastAsia="en-US"/>
    </w:rPr>
  </w:style>
  <w:style w:type="paragraph" w:customStyle="1" w:styleId="BBAuthorName">
    <w:name w:val="BB_Author_Name"/>
    <w:basedOn w:val="a"/>
    <w:next w:val="a"/>
    <w:rsid w:val="00FC0D70"/>
    <w:pPr>
      <w:widowControl/>
      <w:spacing w:after="240" w:line="480" w:lineRule="auto"/>
      <w:jc w:val="center"/>
    </w:pPr>
    <w:rPr>
      <w:rFonts w:ascii="Times" w:hAnsi="Times" w:cs="Times New Roman"/>
      <w:i/>
      <w:kern w:val="0"/>
      <w:sz w:val="24"/>
      <w:szCs w:val="20"/>
      <w:lang w:eastAsia="en-US"/>
    </w:rPr>
  </w:style>
  <w:style w:type="paragraph" w:customStyle="1" w:styleId="BIEmailAddress">
    <w:name w:val="BI_Email_Address"/>
    <w:basedOn w:val="a"/>
    <w:next w:val="a"/>
    <w:rsid w:val="00FC0D70"/>
    <w:pPr>
      <w:widowControl/>
      <w:spacing w:after="200" w:line="480" w:lineRule="auto"/>
    </w:pPr>
    <w:rPr>
      <w:rFonts w:ascii="Times" w:hAnsi="Times" w:cs="Times New Roman"/>
      <w:kern w:val="0"/>
      <w:sz w:val="24"/>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hezhongw@126.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761</Words>
  <Characters>4338</Characters>
  <Application>Microsoft Office Word</Application>
  <DocSecurity>0</DocSecurity>
  <Lines>36</Lines>
  <Paragraphs>10</Paragraphs>
  <ScaleCrop>false</ScaleCrop>
  <Company/>
  <LinksUpToDate>false</LinksUpToDate>
  <CharactersWithSpaces>5089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11</dc:creator>
  <cp:keywords/>
  <dc:description/>
  <cp:lastModifiedBy>11</cp:lastModifiedBy>
  <cp:revision>2</cp:revision>
  <dcterms:created xsi:type="dcterms:W3CDTF">2021-09-24T03:49:00Z</dcterms:created>
  <dcterms:modified xsi:type="dcterms:W3CDTF">2021-09-24T03:49:00Z</dcterms:modified>
</cp:coreProperties>
</file>