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EAAF6" w14:textId="77777777" w:rsidR="00D43BCB" w:rsidRDefault="00D43BCB" w:rsidP="00D43BCB">
      <w:pPr>
        <w:pStyle w:val="Caption"/>
      </w:pPr>
      <w:bookmarkStart w:id="0" w:name="_Ref212072244"/>
      <w:r>
        <w:t xml:space="preserve">Supplementary materials </w:t>
      </w:r>
      <w:r>
        <w:fldChar w:fldCharType="begin"/>
      </w:r>
      <w:r>
        <w:instrText xml:space="preserve"> SEQ Supplementary_materials \* ARABIC </w:instrText>
      </w:r>
      <w:r>
        <w:fldChar w:fldCharType="separate"/>
      </w:r>
      <w:r>
        <w:rPr>
          <w:noProof/>
        </w:rPr>
        <w:t>3</w:t>
      </w:r>
      <w:r>
        <w:fldChar w:fldCharType="end"/>
      </w:r>
      <w:bookmarkEnd w:id="0"/>
      <w:r>
        <w:t>: List of system usage metrics and descriptions</w:t>
      </w:r>
    </w:p>
    <w:p w14:paraId="122189FE" w14:textId="77777777" w:rsidR="00D43BCB" w:rsidRPr="007B119E" w:rsidRDefault="00D43BCB" w:rsidP="00D43BCB"/>
    <w:tbl>
      <w:tblPr>
        <w:tblStyle w:val="TableUQLined"/>
        <w:tblW w:w="8931" w:type="dxa"/>
        <w:tblLook w:val="04A0" w:firstRow="1" w:lastRow="0" w:firstColumn="1" w:lastColumn="0" w:noHBand="0" w:noVBand="1"/>
      </w:tblPr>
      <w:tblGrid>
        <w:gridCol w:w="1560"/>
        <w:gridCol w:w="7371"/>
      </w:tblGrid>
      <w:tr w:rsidR="00D43BCB" w:rsidRPr="00AD0A3D" w14:paraId="1CFB2F0F" w14:textId="77777777" w:rsidTr="00D21F3B">
        <w:trPr>
          <w:cnfStyle w:val="100000000000" w:firstRow="1" w:lastRow="0" w:firstColumn="0" w:lastColumn="0" w:oddVBand="0" w:evenVBand="0" w:oddHBand="0" w:evenHBand="0" w:firstRowFirstColumn="0" w:firstRowLastColumn="0" w:lastRowFirstColumn="0" w:lastRowLastColumn="0"/>
          <w:trHeight w:val="300"/>
        </w:trPr>
        <w:tc>
          <w:tcPr>
            <w:tcW w:w="1560" w:type="dxa"/>
            <w:hideMark/>
          </w:tcPr>
          <w:p w14:paraId="2BB79AF5" w14:textId="77777777" w:rsidR="00D43BCB" w:rsidRPr="00AD0A3D" w:rsidRDefault="00D43BCB" w:rsidP="00D21F3B">
            <w:pPr>
              <w:pStyle w:val="TableHeading"/>
            </w:pPr>
            <w:r>
              <w:t>Metric</w:t>
            </w:r>
            <w:r w:rsidRPr="00AD0A3D">
              <w:t> </w:t>
            </w:r>
          </w:p>
        </w:tc>
        <w:tc>
          <w:tcPr>
            <w:tcW w:w="7371" w:type="dxa"/>
            <w:hideMark/>
          </w:tcPr>
          <w:p w14:paraId="3DC07FFF" w14:textId="77777777" w:rsidR="00D43BCB" w:rsidRPr="00AD0A3D" w:rsidRDefault="00D43BCB" w:rsidP="00D21F3B">
            <w:pPr>
              <w:pStyle w:val="TableHeading"/>
            </w:pPr>
            <w:r>
              <w:t>Description</w:t>
            </w:r>
          </w:p>
        </w:tc>
      </w:tr>
      <w:tr w:rsidR="00D43BCB" w:rsidRPr="00AD0A3D" w14:paraId="70538858" w14:textId="77777777" w:rsidTr="00D21F3B">
        <w:trPr>
          <w:trHeight w:val="300"/>
        </w:trPr>
        <w:tc>
          <w:tcPr>
            <w:tcW w:w="1560" w:type="dxa"/>
          </w:tcPr>
          <w:p w14:paraId="6B49089F" w14:textId="77777777" w:rsidR="00D43BCB" w:rsidRDefault="00D43BCB" w:rsidP="00D21F3B">
            <w:pPr>
              <w:pStyle w:val="TableText"/>
            </w:pPr>
            <w:r>
              <w:t>Graph-view page views</w:t>
            </w:r>
          </w:p>
        </w:tc>
        <w:tc>
          <w:tcPr>
            <w:tcW w:w="7371" w:type="dxa"/>
          </w:tcPr>
          <w:p w14:paraId="6BDCA21D" w14:textId="77777777" w:rsidR="00D43BCB" w:rsidRDefault="00D43BCB" w:rsidP="00D21F3B">
            <w:pPr>
              <w:pStyle w:val="TableText"/>
            </w:pPr>
            <w:r w:rsidRPr="00F72B9F">
              <w:t xml:space="preserve">The </w:t>
            </w:r>
            <w:r>
              <w:t>graph-view</w:t>
            </w:r>
            <w:r w:rsidRPr="00F72B9F">
              <w:t xml:space="preserve"> </w:t>
            </w:r>
            <w:r>
              <w:t xml:space="preserve">page </w:t>
            </w:r>
            <w:r w:rsidRPr="00F72B9F">
              <w:t xml:space="preserve">is a custom feature which allows for the interaction of information and data entry with a more user-friendly experience. The </w:t>
            </w:r>
            <w:r>
              <w:t>graph-view</w:t>
            </w:r>
            <w:r w:rsidRPr="00F72B9F">
              <w:t xml:space="preserve"> is not the only way to enter and view data related to the DEWT system, </w:t>
            </w:r>
            <w:r>
              <w:t>but it offers a more intuitive u</w:t>
            </w:r>
            <w:r w:rsidRPr="00F72B9F">
              <w:t xml:space="preserve">ser interface </w:t>
            </w:r>
            <w:r>
              <w:t xml:space="preserve">which </w:t>
            </w:r>
            <w:r w:rsidRPr="00F72B9F">
              <w:t xml:space="preserve">can lead to better compliance </w:t>
            </w:r>
            <w:r>
              <w:t>and</w:t>
            </w:r>
            <w:r w:rsidRPr="00F72B9F">
              <w:t xml:space="preserve"> best practice when utilised in the entry and review of core vital signs within the </w:t>
            </w:r>
            <w:r>
              <w:t>E</w:t>
            </w:r>
            <w:r w:rsidRPr="00F72B9F">
              <w:t xml:space="preserve">MR. </w:t>
            </w:r>
          </w:p>
          <w:p w14:paraId="0A44112C" w14:textId="77777777" w:rsidR="00D43BCB" w:rsidRPr="002073A3" w:rsidRDefault="00D43BCB" w:rsidP="00D21F3B">
            <w:pPr>
              <w:pStyle w:val="TableText"/>
            </w:pPr>
            <w:r w:rsidRPr="00F72B9F">
              <w:t xml:space="preserve">This metric assesses how often users accessed the </w:t>
            </w:r>
            <w:r>
              <w:t>graph-view page</w:t>
            </w:r>
            <w:r w:rsidRPr="00F72B9F">
              <w:t xml:space="preserve"> before and after the upgrade, noting that due to technical limitations of data retrieval due to look-back limits, only 8 months’ worth of data was available for analysis during the pre-upgrade period.</w:t>
            </w:r>
          </w:p>
        </w:tc>
      </w:tr>
      <w:tr w:rsidR="00D43BCB" w:rsidRPr="00AD0A3D" w14:paraId="1D704F0B" w14:textId="77777777" w:rsidTr="00D21F3B">
        <w:trPr>
          <w:cnfStyle w:val="000000010000" w:firstRow="0" w:lastRow="0" w:firstColumn="0" w:lastColumn="0" w:oddVBand="0" w:evenVBand="0" w:oddHBand="0" w:evenHBand="1" w:firstRowFirstColumn="0" w:firstRowLastColumn="0" w:lastRowFirstColumn="0" w:lastRowLastColumn="0"/>
          <w:trHeight w:val="300"/>
        </w:trPr>
        <w:tc>
          <w:tcPr>
            <w:tcW w:w="1560" w:type="dxa"/>
          </w:tcPr>
          <w:p w14:paraId="4FA27D1F" w14:textId="77777777" w:rsidR="00D43BCB" w:rsidRPr="00AD0A3D" w:rsidRDefault="00D43BCB" w:rsidP="00D21F3B">
            <w:pPr>
              <w:pStyle w:val="TableText"/>
            </w:pPr>
            <w:r>
              <w:t>EWS alerts per encounter</w:t>
            </w:r>
          </w:p>
        </w:tc>
        <w:tc>
          <w:tcPr>
            <w:tcW w:w="7371" w:type="dxa"/>
          </w:tcPr>
          <w:p w14:paraId="27A6F07F" w14:textId="77777777" w:rsidR="00D43BCB" w:rsidRDefault="00D43BCB" w:rsidP="00D21F3B">
            <w:pPr>
              <w:pStyle w:val="TableText"/>
            </w:pPr>
            <w:r w:rsidRPr="002073A3">
              <w:t>DEWT scores are calculated multiple times per patient per admission</w:t>
            </w:r>
            <w:r>
              <w:t xml:space="preserve"> (encounter)</w:t>
            </w:r>
            <w:r w:rsidRPr="002073A3">
              <w:t xml:space="preserve">. </w:t>
            </w:r>
          </w:p>
          <w:p w14:paraId="4A64F0A2" w14:textId="77777777" w:rsidR="00D43BCB" w:rsidRPr="00AD0A3D" w:rsidRDefault="00D43BCB" w:rsidP="00D21F3B">
            <w:pPr>
              <w:pStyle w:val="TableText"/>
            </w:pPr>
            <w:r w:rsidRPr="002073A3">
              <w:t xml:space="preserve">This metric is describing the </w:t>
            </w:r>
            <w:r>
              <w:t>number of times the score is calculated per encounter</w:t>
            </w:r>
            <w:r w:rsidRPr="002073A3">
              <w:t>.</w:t>
            </w:r>
          </w:p>
        </w:tc>
      </w:tr>
      <w:tr w:rsidR="00D43BCB" w:rsidRPr="00AD0A3D" w14:paraId="096B00CD" w14:textId="77777777" w:rsidTr="00D21F3B">
        <w:trPr>
          <w:trHeight w:val="300"/>
        </w:trPr>
        <w:tc>
          <w:tcPr>
            <w:tcW w:w="1560" w:type="dxa"/>
          </w:tcPr>
          <w:p w14:paraId="78952AD1" w14:textId="77777777" w:rsidR="00D43BCB" w:rsidRPr="00AD0A3D" w:rsidRDefault="00D43BCB" w:rsidP="00D21F3B">
            <w:pPr>
              <w:pStyle w:val="TableText"/>
            </w:pPr>
            <w:r>
              <w:t>Proportion of vital sign frequency aligned to EWS at time</w:t>
            </w:r>
          </w:p>
        </w:tc>
        <w:tc>
          <w:tcPr>
            <w:tcW w:w="7371" w:type="dxa"/>
          </w:tcPr>
          <w:p w14:paraId="0D987B41" w14:textId="77777777" w:rsidR="00D43BCB" w:rsidRDefault="00D43BCB" w:rsidP="00D21F3B">
            <w:pPr>
              <w:pStyle w:val="TableText"/>
            </w:pPr>
            <w:r w:rsidRPr="002C1EBE">
              <w:t>As the DEWT score is generally associated with the stability of a patient’s clinical status, it is typically recommended to increase the occurrence of vital signs when a patient is scoring a higher DEWT score. Generally, a higher DEWT score is translated to a sicker patient, hence the recommended vital sign frequency increase</w:t>
            </w:r>
            <w:r>
              <w:t xml:space="preserve">. The recommended vital sign frequency for each EWS is shown below. </w:t>
            </w:r>
          </w:p>
          <w:p w14:paraId="2DBD32AC" w14:textId="77777777" w:rsidR="00D43BCB" w:rsidRDefault="00D43BCB" w:rsidP="00D21F3B">
            <w:pPr>
              <w:pStyle w:val="TableText"/>
            </w:pPr>
            <w:r>
              <w:t>EWS 0: 8-hours</w:t>
            </w:r>
          </w:p>
          <w:p w14:paraId="4E4DC3F4" w14:textId="77777777" w:rsidR="00D43BCB" w:rsidRDefault="00D43BCB" w:rsidP="00D21F3B">
            <w:pPr>
              <w:pStyle w:val="TableText"/>
            </w:pPr>
            <w:r>
              <w:t>EWS 1-3: 4-hours</w:t>
            </w:r>
          </w:p>
          <w:p w14:paraId="18634ED2" w14:textId="77777777" w:rsidR="00D43BCB" w:rsidRDefault="00D43BCB" w:rsidP="00D21F3B">
            <w:pPr>
              <w:pStyle w:val="TableText"/>
            </w:pPr>
            <w:r>
              <w:t>EWS 4-5: 60-minutes</w:t>
            </w:r>
          </w:p>
          <w:p w14:paraId="34D38656" w14:textId="77777777" w:rsidR="00D43BCB" w:rsidRDefault="00D43BCB" w:rsidP="00D21F3B">
            <w:pPr>
              <w:pStyle w:val="TableText"/>
            </w:pPr>
            <w:r>
              <w:t>EWS 6-7: 30-minutes</w:t>
            </w:r>
          </w:p>
          <w:p w14:paraId="31D565FD" w14:textId="77777777" w:rsidR="00D43BCB" w:rsidRDefault="00D43BCB" w:rsidP="00D21F3B">
            <w:pPr>
              <w:pStyle w:val="TableText"/>
            </w:pPr>
            <w:r>
              <w:t xml:space="preserve">EWS </w:t>
            </w:r>
            <w:r w:rsidRPr="00A35F96">
              <w:t>≥8</w:t>
            </w:r>
            <w:r>
              <w:t xml:space="preserve"> or E (MET call): 10-minutes </w:t>
            </w:r>
          </w:p>
          <w:p w14:paraId="62B65F18" w14:textId="77777777" w:rsidR="00D43BCB" w:rsidRPr="00AD0A3D" w:rsidRDefault="00D43BCB" w:rsidP="00D21F3B">
            <w:pPr>
              <w:pStyle w:val="TableText"/>
            </w:pPr>
            <w:r>
              <w:t xml:space="preserve">This metric calculates the proportion of time that vital sign frequency is aligned to the recommended vital sign frequency for the EWS calculated. </w:t>
            </w:r>
          </w:p>
        </w:tc>
      </w:tr>
      <w:tr w:rsidR="00D43BCB" w:rsidRPr="00AD0A3D" w14:paraId="243CCA62" w14:textId="77777777" w:rsidTr="00D21F3B">
        <w:trPr>
          <w:cnfStyle w:val="000000010000" w:firstRow="0" w:lastRow="0" w:firstColumn="0" w:lastColumn="0" w:oddVBand="0" w:evenVBand="0" w:oddHBand="0" w:evenHBand="1" w:firstRowFirstColumn="0" w:firstRowLastColumn="0" w:lastRowFirstColumn="0" w:lastRowLastColumn="0"/>
          <w:trHeight w:val="300"/>
        </w:trPr>
        <w:tc>
          <w:tcPr>
            <w:tcW w:w="1560" w:type="dxa"/>
          </w:tcPr>
          <w:p w14:paraId="690A6D38" w14:textId="77777777" w:rsidR="00D43BCB" w:rsidRPr="006C2E97" w:rsidRDefault="00D43BCB" w:rsidP="00D21F3B">
            <w:pPr>
              <w:pStyle w:val="TableText"/>
            </w:pPr>
            <w:r w:rsidRPr="006C2E97">
              <w:t>ACC episodes</w:t>
            </w:r>
          </w:p>
          <w:p w14:paraId="500CF8C0" w14:textId="77777777" w:rsidR="00D43BCB" w:rsidRPr="006C2E97" w:rsidRDefault="00D43BCB" w:rsidP="00D21F3B">
            <w:pPr>
              <w:pStyle w:val="TableText"/>
            </w:pPr>
          </w:p>
          <w:p w14:paraId="1CAFBDD0" w14:textId="77777777" w:rsidR="00D43BCB" w:rsidRPr="006C2E97" w:rsidRDefault="00D43BCB" w:rsidP="00D21F3B">
            <w:pPr>
              <w:pStyle w:val="TableText"/>
            </w:pPr>
          </w:p>
        </w:tc>
        <w:tc>
          <w:tcPr>
            <w:tcW w:w="7371" w:type="dxa"/>
          </w:tcPr>
          <w:p w14:paraId="1D1182CC" w14:textId="77777777" w:rsidR="00D43BCB" w:rsidRPr="006C2E97" w:rsidRDefault="00D43BCB" w:rsidP="00D21F3B">
            <w:pPr>
              <w:pStyle w:val="TableText"/>
            </w:pPr>
            <w:r w:rsidRPr="006C2E97">
              <w:t xml:space="preserve">An altered calling criteria (ACC) occurs when an authorised clinical user decides to modify the typical parameters for escalation of abnormal vital signs. ACC can be set for the entire encounter (chronic conditions), or for a limited </w:t>
            </w:r>
            <w:proofErr w:type="gramStart"/>
            <w:r w:rsidRPr="006C2E97">
              <w:t>time period</w:t>
            </w:r>
            <w:proofErr w:type="gramEnd"/>
            <w:r w:rsidRPr="006C2E97">
              <w:t xml:space="preserve"> (acute conditions). While an acute change is in place it requires an observation frequency of at least hourly, and the duration of an Acute ACC order is limited to maximum 6 hours. Prior to upgrade, the time frame set was flexible for all vital signs altered. A </w:t>
            </w:r>
            <w:proofErr w:type="gramStart"/>
            <w:r w:rsidRPr="006C2E97">
              <w:t>6</w:t>
            </w:r>
            <w:r>
              <w:t xml:space="preserve"> </w:t>
            </w:r>
            <w:r w:rsidRPr="006C2E97">
              <w:t>h</w:t>
            </w:r>
            <w:r>
              <w:t>ou</w:t>
            </w:r>
            <w:r w:rsidRPr="006C2E97">
              <w:t>r</w:t>
            </w:r>
            <w:proofErr w:type="gramEnd"/>
            <w:r w:rsidRPr="006C2E97">
              <w:t xml:space="preserve"> limit was ‘hard coded’ into the system with the upgrade. Further, the upgrade introduced the ability to qualify the alterations as either ‘Acute’ or ‘Chronic’ for each of the altered vital signs.</w:t>
            </w:r>
          </w:p>
          <w:p w14:paraId="43D3825C" w14:textId="77777777" w:rsidR="00D43BCB" w:rsidRPr="006C2E97" w:rsidRDefault="00D43BCB" w:rsidP="00D21F3B">
            <w:pPr>
              <w:pStyle w:val="TableText"/>
            </w:pPr>
            <w:r w:rsidRPr="006C2E97">
              <w:t>This metric is a total count of altered calling criteria occurrences.</w:t>
            </w:r>
          </w:p>
        </w:tc>
      </w:tr>
      <w:tr w:rsidR="00D43BCB" w:rsidRPr="00AD0A3D" w14:paraId="3E96E669" w14:textId="77777777" w:rsidTr="00D21F3B">
        <w:trPr>
          <w:trHeight w:val="300"/>
        </w:trPr>
        <w:tc>
          <w:tcPr>
            <w:tcW w:w="1560" w:type="dxa"/>
          </w:tcPr>
          <w:p w14:paraId="4B2CC59A" w14:textId="77777777" w:rsidR="00D43BCB" w:rsidRDefault="00D43BCB" w:rsidP="00D21F3B">
            <w:pPr>
              <w:pStyle w:val="TableText"/>
            </w:pPr>
            <w:r w:rsidRPr="00D30814">
              <w:t>ACC respiratory chart usage</w:t>
            </w:r>
          </w:p>
        </w:tc>
        <w:tc>
          <w:tcPr>
            <w:tcW w:w="7371" w:type="dxa"/>
          </w:tcPr>
          <w:p w14:paraId="0FA58109" w14:textId="77777777" w:rsidR="00D43BCB" w:rsidRDefault="00D43BCB" w:rsidP="00D21F3B">
            <w:pPr>
              <w:pStyle w:val="TableText"/>
            </w:pPr>
            <w:r w:rsidRPr="00013325">
              <w:t xml:space="preserve">Prior to the DEWT upgrade, clinicians were required to alter the calling criteria of patients with chronic respiratory disease to ensure the DEWT score was indeed representative of their normal respiratory status. Post upgrade a ‘respiratory chart’ </w:t>
            </w:r>
            <w:r>
              <w:t>was introduced for</w:t>
            </w:r>
            <w:r w:rsidRPr="00013325">
              <w:t xml:space="preserve"> this cohort of patients providing a) a template of ‘normal’ for patients suffering diseases such as the above mentioned, and b) a warning alert if these patients are being provided with potentially harmful excess oxygen. </w:t>
            </w:r>
          </w:p>
          <w:p w14:paraId="5B53F2CF" w14:textId="77777777" w:rsidR="00D43BCB" w:rsidRPr="00665556" w:rsidRDefault="00D43BCB" w:rsidP="00D21F3B">
            <w:pPr>
              <w:pStyle w:val="TableText"/>
            </w:pPr>
            <w:r w:rsidRPr="00F72B9F">
              <w:t xml:space="preserve">This metric assesses how often users accessed the </w:t>
            </w:r>
            <w:r>
              <w:t>respiratory chart view page</w:t>
            </w:r>
            <w:r w:rsidRPr="00F72B9F">
              <w:t xml:space="preserve"> after the upgrade, noting that </w:t>
            </w:r>
            <w:r>
              <w:t xml:space="preserve">this page was not available pre-upgrade. </w:t>
            </w:r>
          </w:p>
        </w:tc>
      </w:tr>
      <w:tr w:rsidR="00D43BCB" w:rsidRPr="00AD0A3D" w14:paraId="20DB3E83" w14:textId="77777777" w:rsidTr="00D21F3B">
        <w:trPr>
          <w:cnfStyle w:val="000000010000" w:firstRow="0" w:lastRow="0" w:firstColumn="0" w:lastColumn="0" w:oddVBand="0" w:evenVBand="0" w:oddHBand="0" w:evenHBand="1" w:firstRowFirstColumn="0" w:firstRowLastColumn="0" w:lastRowFirstColumn="0" w:lastRowLastColumn="0"/>
          <w:trHeight w:val="300"/>
        </w:trPr>
        <w:tc>
          <w:tcPr>
            <w:tcW w:w="1560" w:type="dxa"/>
          </w:tcPr>
          <w:p w14:paraId="3E12239C" w14:textId="77777777" w:rsidR="00D43BCB" w:rsidRDefault="00D43BCB" w:rsidP="00D21F3B">
            <w:pPr>
              <w:pStyle w:val="TableText"/>
            </w:pPr>
            <w:r>
              <w:t>Rate of EWS time gap per acute ACC encounter</w:t>
            </w:r>
          </w:p>
        </w:tc>
        <w:tc>
          <w:tcPr>
            <w:tcW w:w="7371" w:type="dxa"/>
          </w:tcPr>
          <w:p w14:paraId="58ECECDD" w14:textId="77777777" w:rsidR="00D43BCB" w:rsidRDefault="00D43BCB" w:rsidP="00D21F3B">
            <w:pPr>
              <w:pStyle w:val="TableText"/>
            </w:pPr>
            <w:r w:rsidRPr="00665556">
              <w:t xml:space="preserve">When an acute alteration to calling criteria is made, it is expected that </w:t>
            </w:r>
            <w:r>
              <w:t>a new EWS is generated a</w:t>
            </w:r>
            <w:r w:rsidRPr="00665556">
              <w:t>t least hourly. This is to ensure that the altered calling criteria, which will reduce or normalise the DEWT score, is</w:t>
            </w:r>
            <w:r>
              <w:t xml:space="preserve"> not</w:t>
            </w:r>
            <w:r w:rsidRPr="00665556">
              <w:t xml:space="preserve"> resulting in inadequate monitoring </w:t>
            </w:r>
            <w:r>
              <w:t>n</w:t>
            </w:r>
            <w:r w:rsidRPr="00665556">
              <w:t xml:space="preserve">or masking a deterioration such that it will go unnoticed.   </w:t>
            </w:r>
          </w:p>
          <w:p w14:paraId="1447C848" w14:textId="77777777" w:rsidR="00D43BCB" w:rsidRPr="00F72B9F" w:rsidRDefault="00D43BCB" w:rsidP="00D21F3B">
            <w:pPr>
              <w:pStyle w:val="TableText"/>
            </w:pPr>
            <w:r>
              <w:lastRenderedPageBreak/>
              <w:t xml:space="preserve">This metric calculates the number of times there was a gap of 60, 90, and 120 minutes between EWS generated when acute ACC was in </w:t>
            </w:r>
            <w:proofErr w:type="gramStart"/>
            <w:r>
              <w:t>place, and</w:t>
            </w:r>
            <w:proofErr w:type="gramEnd"/>
            <w:r>
              <w:t xml:space="preserve"> calculates the rate per encounter. </w:t>
            </w:r>
          </w:p>
        </w:tc>
      </w:tr>
      <w:tr w:rsidR="00D43BCB" w:rsidRPr="00AD0A3D" w14:paraId="6D398476" w14:textId="77777777" w:rsidTr="00D21F3B">
        <w:trPr>
          <w:trHeight w:val="300"/>
        </w:trPr>
        <w:tc>
          <w:tcPr>
            <w:tcW w:w="1560" w:type="dxa"/>
          </w:tcPr>
          <w:p w14:paraId="15F9DE97" w14:textId="77777777" w:rsidR="00D43BCB" w:rsidRDefault="00D43BCB" w:rsidP="00D21F3B">
            <w:pPr>
              <w:pStyle w:val="TableText"/>
            </w:pPr>
            <w:r>
              <w:lastRenderedPageBreak/>
              <w:t>Mental state change</w:t>
            </w:r>
          </w:p>
        </w:tc>
        <w:tc>
          <w:tcPr>
            <w:tcW w:w="7371" w:type="dxa"/>
          </w:tcPr>
          <w:p w14:paraId="2DDD06C5" w14:textId="77777777" w:rsidR="00D43BCB" w:rsidRDefault="00D43BCB" w:rsidP="00D21F3B">
            <w:pPr>
              <w:pStyle w:val="TableText"/>
            </w:pPr>
            <w:r w:rsidRPr="00AC068A">
              <w:t xml:space="preserve">Prior to the DEWT upgrade, a field was available in the </w:t>
            </w:r>
            <w:r>
              <w:t>EMR</w:t>
            </w:r>
            <w:r w:rsidRPr="00AC068A">
              <w:t xml:space="preserve"> where a clinician could use a drop down to select ‘New confusion/agitation’ to indicate a change in the patient’s mental state, however this did not contribute to the EWS. As part of the upgrade, the ‘New confusion/agitation’ response was removed and ‘Changing behaviour/new confusion’ (C) was added to the AVPU (CAVPU)</w:t>
            </w:r>
            <w:r>
              <w:t>.</w:t>
            </w:r>
            <w:r w:rsidRPr="00AC068A">
              <w:t xml:space="preserve"> The new ‘C’ field is to represent a new confusion onset or acute change in behaviour of the patient. </w:t>
            </w:r>
          </w:p>
          <w:p w14:paraId="13598B16" w14:textId="77777777" w:rsidR="00D43BCB" w:rsidRPr="00AD0A3D" w:rsidRDefault="00D43BCB" w:rsidP="00D21F3B">
            <w:pPr>
              <w:pStyle w:val="TableText"/>
            </w:pPr>
            <w:r>
              <w:t xml:space="preserve">This metric counts the use of ‘New confusion/agitation’ pre-upgrade and the use of the new ‘C’ in CAVPU post-upgrade. </w:t>
            </w:r>
          </w:p>
        </w:tc>
      </w:tr>
    </w:tbl>
    <w:p w14:paraId="529B88EB" w14:textId="77777777" w:rsidR="00D43BCB" w:rsidRDefault="00D43BCB" w:rsidP="00D43BCB"/>
    <w:p w14:paraId="33E0887F" w14:textId="77777777" w:rsidR="00D43BCB" w:rsidRDefault="00D43BCB" w:rsidP="00D43BCB"/>
    <w:p w14:paraId="47E143E8" w14:textId="77777777" w:rsidR="00D43BCB" w:rsidRDefault="00D43BCB" w:rsidP="00D43BCB"/>
    <w:p w14:paraId="27F6F7F8" w14:textId="77777777" w:rsidR="00D43BCB" w:rsidRDefault="00D43BCB" w:rsidP="00D43BCB"/>
    <w:p w14:paraId="5B372072" w14:textId="77777777" w:rsidR="00D43BCB" w:rsidRDefault="00D43BCB"/>
    <w:sectPr w:rsidR="00D43B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BCB"/>
    <w:rsid w:val="00B451C0"/>
    <w:rsid w:val="00D43BC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F220B"/>
  <w15:chartTrackingRefBased/>
  <w15:docId w15:val="{0B485D12-4828-45ED-B50E-1BB2254B1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BCB"/>
    <w:pPr>
      <w:spacing w:after="0" w:line="240" w:lineRule="auto"/>
    </w:pPr>
    <w:rPr>
      <w:kern w:val="0"/>
      <w:sz w:val="20"/>
      <w:szCs w:val="22"/>
      <w14:ligatures w14:val="none"/>
    </w:rPr>
  </w:style>
  <w:style w:type="paragraph" w:styleId="Heading1">
    <w:name w:val="heading 1"/>
    <w:basedOn w:val="Normal"/>
    <w:next w:val="Normal"/>
    <w:link w:val="Heading1Char"/>
    <w:uiPriority w:val="9"/>
    <w:qFormat/>
    <w:rsid w:val="00D43BC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43BC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43BC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43BC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43BC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43BCB"/>
    <w:pPr>
      <w:keepNext/>
      <w:keepLines/>
      <w:spacing w:before="4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43BCB"/>
    <w:pPr>
      <w:keepNext/>
      <w:keepLines/>
      <w:spacing w:before="4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43BCB"/>
    <w:pPr>
      <w:keepNext/>
      <w:keepLines/>
      <w:spacing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43BCB"/>
    <w:pPr>
      <w:keepNext/>
      <w:keepLines/>
      <w:spacing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3B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3BC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3B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3B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3B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3B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3B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3B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3BCB"/>
    <w:rPr>
      <w:rFonts w:eastAsiaTheme="majorEastAsia" w:cstheme="majorBidi"/>
      <w:color w:val="272727" w:themeColor="text1" w:themeTint="D8"/>
    </w:rPr>
  </w:style>
  <w:style w:type="paragraph" w:styleId="Title">
    <w:name w:val="Title"/>
    <w:basedOn w:val="Normal"/>
    <w:next w:val="Normal"/>
    <w:link w:val="TitleChar"/>
    <w:uiPriority w:val="10"/>
    <w:qFormat/>
    <w:rsid w:val="00D43BCB"/>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3B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3BCB"/>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3B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3BCB"/>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43BCB"/>
    <w:rPr>
      <w:i/>
      <w:iCs/>
      <w:color w:val="404040" w:themeColor="text1" w:themeTint="BF"/>
    </w:rPr>
  </w:style>
  <w:style w:type="paragraph" w:styleId="ListParagraph">
    <w:name w:val="List Paragraph"/>
    <w:basedOn w:val="Normal"/>
    <w:uiPriority w:val="34"/>
    <w:qFormat/>
    <w:rsid w:val="00D43BCB"/>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43BCB"/>
    <w:rPr>
      <w:i/>
      <w:iCs/>
      <w:color w:val="0F4761" w:themeColor="accent1" w:themeShade="BF"/>
    </w:rPr>
  </w:style>
  <w:style w:type="paragraph" w:styleId="IntenseQuote">
    <w:name w:val="Intense Quote"/>
    <w:basedOn w:val="Normal"/>
    <w:next w:val="Normal"/>
    <w:link w:val="IntenseQuoteChar"/>
    <w:uiPriority w:val="30"/>
    <w:qFormat/>
    <w:rsid w:val="00D43BC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43BCB"/>
    <w:rPr>
      <w:i/>
      <w:iCs/>
      <w:color w:val="0F4761" w:themeColor="accent1" w:themeShade="BF"/>
    </w:rPr>
  </w:style>
  <w:style w:type="character" w:styleId="IntenseReference">
    <w:name w:val="Intense Reference"/>
    <w:basedOn w:val="DefaultParagraphFont"/>
    <w:uiPriority w:val="32"/>
    <w:qFormat/>
    <w:rsid w:val="00D43BCB"/>
    <w:rPr>
      <w:b/>
      <w:bCs/>
      <w:smallCaps/>
      <w:color w:val="0F4761" w:themeColor="accent1" w:themeShade="BF"/>
      <w:spacing w:val="5"/>
    </w:rPr>
  </w:style>
  <w:style w:type="paragraph" w:styleId="Caption">
    <w:name w:val="caption"/>
    <w:basedOn w:val="Normal"/>
    <w:next w:val="Normal"/>
    <w:uiPriority w:val="6"/>
    <w:qFormat/>
    <w:rsid w:val="00D43BCB"/>
    <w:pPr>
      <w:keepNext/>
      <w:tabs>
        <w:tab w:val="left" w:pos="1134"/>
      </w:tabs>
      <w:spacing w:before="240" w:after="120"/>
      <w:ind w:left="1134" w:hanging="1134"/>
    </w:pPr>
    <w:rPr>
      <w:i/>
      <w:iCs/>
      <w:color w:val="51247A"/>
      <w:szCs w:val="18"/>
    </w:rPr>
  </w:style>
  <w:style w:type="table" w:customStyle="1" w:styleId="TableUQLined">
    <w:name w:val="Table UQ Lined"/>
    <w:basedOn w:val="TableNormal"/>
    <w:uiPriority w:val="99"/>
    <w:rsid w:val="00D43BCB"/>
    <w:pPr>
      <w:spacing w:after="0" w:line="240" w:lineRule="auto"/>
    </w:pPr>
    <w:rPr>
      <w:kern w:val="0"/>
      <w:sz w:val="22"/>
      <w:szCs w:val="22"/>
      <w14:ligatures w14:val="none"/>
    </w:rPr>
    <w:tblPr>
      <w:tblStyleRowBandSize w:val="1"/>
      <w:tblStyleColBandSize w:val="1"/>
      <w:tblBorders>
        <w:top w:val="single" w:sz="4" w:space="0" w:color="156082" w:themeColor="accent1"/>
        <w:bottom w:val="single" w:sz="18" w:space="0" w:color="51247A"/>
        <w:insideH w:val="single" w:sz="4" w:space="0" w:color="156082" w:themeColor="accent1"/>
      </w:tblBorders>
      <w:tblCellMar>
        <w:left w:w="0" w:type="dxa"/>
        <w:right w:w="0" w:type="dxa"/>
      </w:tblCellMar>
    </w:tblPr>
    <w:tcPr>
      <w:shd w:val="clear" w:color="auto" w:fill="FFFFFF" w:themeFill="background1"/>
    </w:tcPr>
    <w:tblStylePr w:type="firstRow">
      <w:tblPr/>
      <w:tcPr>
        <w:tcBorders>
          <w:top w:val="single" w:sz="18" w:space="0" w:color="51247A"/>
          <w:left w:val="nil"/>
          <w:bottom w:val="single" w:sz="18" w:space="0" w:color="51247A"/>
          <w:right w:val="nil"/>
          <w:insideH w:val="nil"/>
          <w:insideV w:val="nil"/>
          <w:tl2br w:val="nil"/>
          <w:tr2bl w:val="nil"/>
        </w:tcBorders>
        <w:shd w:val="clear" w:color="auto" w:fill="FFFFFF" w:themeFill="background1"/>
      </w:tcPr>
    </w:tblStylePr>
    <w:tblStylePr w:type="lastRow">
      <w:rPr>
        <w:b/>
      </w:rPr>
      <w:tblPr/>
      <w:tcPr>
        <w:shd w:val="clear" w:color="auto" w:fill="B7D4EF" w:themeFill="text2" w:themeFillTint="33"/>
      </w:tcPr>
    </w:tblStylePr>
    <w:tblStylePr w:type="lastCol">
      <w:tblPr/>
      <w:tcPr>
        <w:shd w:val="clear" w:color="auto" w:fill="B7D4EF" w:themeFill="text2" w:themeFillTint="33"/>
      </w:tcPr>
    </w:tblStylePr>
    <w:tblStylePr w:type="band2Vert">
      <w:tblPr/>
      <w:tcPr>
        <w:shd w:val="clear" w:color="auto" w:fill="B7D4EF" w:themeFill="text2" w:themeFillTint="33"/>
      </w:tcPr>
    </w:tblStylePr>
    <w:tblStylePr w:type="band2Horz">
      <w:tblPr/>
      <w:tcPr>
        <w:shd w:val="clear" w:color="auto" w:fill="B7D4EF" w:themeFill="text2" w:themeFillTint="33"/>
      </w:tcPr>
    </w:tblStylePr>
  </w:style>
  <w:style w:type="paragraph" w:customStyle="1" w:styleId="TableHeading">
    <w:name w:val="Table Heading"/>
    <w:basedOn w:val="Normal"/>
    <w:uiPriority w:val="3"/>
    <w:qFormat/>
    <w:rsid w:val="00D43BCB"/>
    <w:pPr>
      <w:spacing w:before="60" w:after="60"/>
      <w:ind w:left="113" w:right="113"/>
    </w:pPr>
    <w:rPr>
      <w:b/>
    </w:rPr>
  </w:style>
  <w:style w:type="paragraph" w:customStyle="1" w:styleId="TableText">
    <w:name w:val="Table Text"/>
    <w:basedOn w:val="Normal"/>
    <w:uiPriority w:val="3"/>
    <w:qFormat/>
    <w:rsid w:val="00D43BCB"/>
    <w:pPr>
      <w:spacing w:before="60" w:after="60"/>
      <w:ind w:left="113" w:righ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7F3810EBB12E4BA38F6A670C7E19A1" ma:contentTypeVersion="13" ma:contentTypeDescription="Create a new document." ma:contentTypeScope="" ma:versionID="c5429ae7d8d0bfbd48ff81c082cdeda1">
  <xsd:schema xmlns:xsd="http://www.w3.org/2001/XMLSchema" xmlns:xs="http://www.w3.org/2001/XMLSchema" xmlns:p="http://schemas.microsoft.com/office/2006/metadata/properties" xmlns:ns2="3fa81142-bcd3-464a-a221-bd59a6779895" xmlns:ns3="0a88d7b6-0000-4687-9ca0-d5e4c7c5740e" targetNamespace="http://schemas.microsoft.com/office/2006/metadata/properties" ma:root="true" ma:fieldsID="2c05378b9fe84acd6812d3f1ffbe2864" ns2:_="" ns3:_="">
    <xsd:import namespace="3fa81142-bcd3-464a-a221-bd59a6779895"/>
    <xsd:import namespace="0a88d7b6-0000-4687-9ca0-d5e4c7c574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81142-bcd3-464a-a221-bd59a67798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babe79-dfb6-408c-aa7a-07abcf6abbf7"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88d7b6-0000-4687-9ca0-d5e4c7c574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a81142-bcd3-464a-a221-bd59a677989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8E7FC2-15B8-4D22-995E-2DD22EEB2F4F}"/>
</file>

<file path=customXml/itemProps2.xml><?xml version="1.0" encoding="utf-8"?>
<ds:datastoreItem xmlns:ds="http://schemas.openxmlformats.org/officeDocument/2006/customXml" ds:itemID="{A7671129-3FE4-49E7-94CA-C396AF53E6EF}"/>
</file>

<file path=customXml/itemProps3.xml><?xml version="1.0" encoding="utf-8"?>
<ds:datastoreItem xmlns:ds="http://schemas.openxmlformats.org/officeDocument/2006/customXml" ds:itemID="{81378008-B612-4369-8A93-1949289BAF37}"/>
</file>

<file path=docProps/app.xml><?xml version="1.0" encoding="utf-8"?>
<Properties xmlns="http://schemas.openxmlformats.org/officeDocument/2006/extended-properties" xmlns:vt="http://schemas.openxmlformats.org/officeDocument/2006/docPropsVTypes">
  <Template>Normal</Template>
  <TotalTime>2</TotalTime>
  <Pages>2</Pages>
  <Words>706</Words>
  <Characters>3592</Characters>
  <Application>Microsoft Office Word</Application>
  <DocSecurity>0</DocSecurity>
  <Lines>86</Lines>
  <Paragraphs>29</Paragraphs>
  <ScaleCrop>false</ScaleCrop>
  <Company/>
  <LinksUpToDate>false</LinksUpToDate>
  <CharactersWithSpaces>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Jodie Austin</dc:creator>
  <cp:keywords/>
  <dc:description/>
  <cp:lastModifiedBy>Jodie Austin</cp:lastModifiedBy>
  <cp:revision>1</cp:revision>
  <dcterms:created xsi:type="dcterms:W3CDTF">2026-02-26T02:13:00Z</dcterms:created>
  <dcterms:modified xsi:type="dcterms:W3CDTF">2026-02-26T02:15:00Z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2026-02-26T02:15:18Z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f863e024-fb12-4115-9e7d-3593de19b7c2</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y fmtid="{D5CDD505-2E9C-101B-9397-08002B2CF9AE}" pid="10" name="ContentTypeId">
    <vt:lpwstr>0x010100A97F3810EBB12E4BA38F6A670C7E19A1</vt:lpwstr>
  </property>
</Properties>
</file>