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C1F7" w14:textId="77777777" w:rsidR="00461E46" w:rsidRDefault="00461E46" w:rsidP="00461E46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SUPPLEMENTAL MATERIALS</w:t>
      </w:r>
    </w:p>
    <w:p w14:paraId="0C4DC47A" w14:textId="77777777" w:rsidR="00461E46" w:rsidRDefault="00461E46" w:rsidP="00461E4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772217" w14:textId="77777777" w:rsidR="00461E46" w:rsidRDefault="00461E46" w:rsidP="00461E4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Supplemental Material #1</w:t>
      </w:r>
    </w:p>
    <w:p w14:paraId="5B638571" w14:textId="77777777" w:rsidR="00461E46" w:rsidRPr="00581F27" w:rsidRDefault="00461E46" w:rsidP="00461E4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1F27">
        <w:rPr>
          <w:rFonts w:ascii="Times New Roman" w:hAnsi="Times New Roman" w:cs="Times New Roman"/>
          <w:color w:val="000000" w:themeColor="text1"/>
          <w:sz w:val="24"/>
          <w:szCs w:val="24"/>
        </w:rPr>
        <w:t>PubMed search protocol in August 2025:</w:t>
      </w:r>
    </w:p>
    <w:p w14:paraId="14031A61" w14:textId="77777777" w:rsidR="00461E46" w:rsidRDefault="00461E46" w:rsidP="00461E4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1F27">
        <w:rPr>
          <w:rFonts w:ascii="Times New Roman" w:hAnsi="Times New Roman" w:cs="Times New Roman"/>
          <w:color w:val="000000"/>
          <w:sz w:val="24"/>
          <w:szCs w:val="24"/>
        </w:rPr>
        <w:t>((((("primary care") OR ("primary health care")) OR ("general practitioner")) AND ("point of care ultrasound")) NOT (obstetric)) NOT (pediatric)</w:t>
      </w:r>
    </w:p>
    <w:p w14:paraId="5617C09F" w14:textId="77777777" w:rsidR="00461E46" w:rsidRDefault="00461E46" w:rsidP="00461E4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845753E" w14:textId="77777777" w:rsidR="00461E46" w:rsidRDefault="00461E46" w:rsidP="00461E4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Supplemental Material #2</w:t>
      </w:r>
    </w:p>
    <w:p w14:paraId="4BAFB16D" w14:textId="77777777" w:rsidR="00461E46" w:rsidRDefault="00461E46" w:rsidP="00461E4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Survey for Round 1 (see PDF attachment)</w:t>
      </w:r>
    </w:p>
    <w:p w14:paraId="2E367DA3" w14:textId="77777777" w:rsidR="00461E46" w:rsidRDefault="00461E46" w:rsidP="00461E4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B7EA449" w14:textId="77777777" w:rsidR="00461E46" w:rsidRDefault="00461E46" w:rsidP="00461E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Material #3:</w:t>
      </w:r>
      <w:r w:rsidRPr="0070738A">
        <w:rPr>
          <w:rFonts w:ascii="Times New Roman" w:hAnsi="Times New Roman" w:cs="Times New Roman"/>
          <w:sz w:val="24"/>
          <w:szCs w:val="24"/>
        </w:rPr>
        <w:t xml:space="preserve"> </w:t>
      </w:r>
      <w:r w:rsidRPr="0070738A">
        <w:rPr>
          <w:rStyle w:val="normaltextrun"/>
          <w:rFonts w:ascii="Times New Roman" w:hAnsi="Times New Roman" w:cs="Times New Roman"/>
          <w:sz w:val="24"/>
          <w:szCs w:val="24"/>
        </w:rPr>
        <w:t>Reasons Selected for Not Recommending POCUS Examinations in Primary Care</w:t>
      </w:r>
    </w:p>
    <w:tbl>
      <w:tblPr>
        <w:tblW w:w="9980" w:type="dxa"/>
        <w:tblLook w:val="04A0" w:firstRow="1" w:lastRow="0" w:firstColumn="1" w:lastColumn="0" w:noHBand="0" w:noVBand="1"/>
      </w:tblPr>
      <w:tblGrid>
        <w:gridCol w:w="2240"/>
        <w:gridCol w:w="630"/>
        <w:gridCol w:w="630"/>
        <w:gridCol w:w="583"/>
        <w:gridCol w:w="587"/>
        <w:gridCol w:w="630"/>
        <w:gridCol w:w="630"/>
        <w:gridCol w:w="630"/>
        <w:gridCol w:w="630"/>
        <w:gridCol w:w="720"/>
        <w:gridCol w:w="720"/>
        <w:gridCol w:w="720"/>
        <w:gridCol w:w="630"/>
      </w:tblGrid>
      <w:tr w:rsidR="00461E46" w:rsidRPr="003C5BCF" w14:paraId="76F14BE8" w14:textId="77777777" w:rsidTr="00720074">
        <w:trPr>
          <w:trHeight w:val="340"/>
        </w:trPr>
        <w:tc>
          <w:tcPr>
            <w:tcW w:w="2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4718F10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POCUS Examination</w:t>
            </w:r>
          </w:p>
        </w:tc>
        <w:tc>
          <w:tcPr>
            <w:tcW w:w="774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538A2D1B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Reasons for Selecting Examination as Not Useful for Primary Care*</w:t>
            </w:r>
          </w:p>
        </w:tc>
      </w:tr>
      <w:tr w:rsidR="00461E46" w:rsidRPr="003C5BCF" w14:paraId="73D3D897" w14:textId="77777777" w:rsidTr="00720074">
        <w:trPr>
          <w:trHeight w:val="340"/>
        </w:trPr>
        <w:tc>
          <w:tcPr>
            <w:tcW w:w="2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A0117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0881EF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6D789A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B8906E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896F53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80B92A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4C5D65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7BD0F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0CF2B2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74F16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1D038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DA3EC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567BB0" w14:textId="77777777" w:rsidR="00461E46" w:rsidRPr="003C5BCF" w:rsidRDefault="00461E46" w:rsidP="007200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</w:tr>
      <w:tr w:rsidR="00461E46" w:rsidRPr="003C5BCF" w14:paraId="693ACFB7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12907E7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Ocular POCUS for lens dislocation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20E3E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D3536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34863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0EC5D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C9010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3A4D2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AEAD8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44F90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115BB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F8D4F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10201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ABE9F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61E46" w:rsidRPr="003C5BCF" w14:paraId="2890E7DE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F816A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54827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F047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FA802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4145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5E21B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3FE22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D33A3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6C761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FA453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E1D0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ED864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44B2E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</w:tr>
      <w:tr w:rsidR="00461E46" w:rsidRPr="003C5BCF" w14:paraId="5C4BFCF4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A1C0B36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Transcranial doppler for large vessel occlusion ischemic cerebrovascular accident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E6EF1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6FCC8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0547B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9CBDB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2658D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2BF22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F569C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E8E10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0E61B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C6EFC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E9D11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07BF8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61E46" w:rsidRPr="003C5BCF" w14:paraId="1D89E752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34052A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7050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47F50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F8BB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F0EA7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EB29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F7086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0A295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DFD05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491B4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A88C6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EE67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7C530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</w:tr>
      <w:tr w:rsidR="00461E46" w:rsidRPr="003C5BCF" w14:paraId="196FDD85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E7BFBF8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Temporal artery POCUS for temporal arteritis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7E485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AAE78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804A4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AD8C4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EAA85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495F8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E1DDC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054C0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422EE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0E8B5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047B9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0755B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61E46" w:rsidRPr="003C5BCF" w14:paraId="73FE62B5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1E5D8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2B87F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0B787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9BC2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5251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7C271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F55BE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D2803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8D574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5B347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F866A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8657E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E706D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</w:tr>
      <w:tr w:rsidR="00461E46" w:rsidRPr="003C5BCF" w14:paraId="568F2235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11DBC96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Peritonsillar POCUS for peritonsillar abscess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D8703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56419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1EAE5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134F2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D0FF5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E144F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206C3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E4265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9F9F7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B5532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42C39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57922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461E46" w:rsidRPr="003C5BCF" w14:paraId="2856068A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2039FF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D75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9CC3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C1DA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C9F73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1ED71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2F92A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B15E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24CA1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6A8A0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3E4A6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B8D75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29E57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</w:tr>
      <w:tr w:rsidR="00461E46" w:rsidRPr="003C5BCF" w14:paraId="28E09D19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745A80A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Carotid POCUS for intima-media thickness for cardiac risk evaluation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4C3B3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8752B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7D0BC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38935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79ABE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C580D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EC4E2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7E57A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F476D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7F9DD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D6765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8643B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461E46" w:rsidRPr="003C5BCF" w14:paraId="61799C9C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784D9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B05E9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296D9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5E369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1E91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372EA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06AC9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170AF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0CB34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463C7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8AE91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1BF55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A0AF8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</w:tr>
      <w:tr w:rsidR="00461E46" w:rsidRPr="003C5BCF" w14:paraId="55417139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17A0815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 xml:space="preserve">Cardiac POCUS for left atrium pressure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94C75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AF8FC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2A6EF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F119F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7DA65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64403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0120B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506A3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087FB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17D23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E7654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267AC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61E46" w:rsidRPr="003C5BCF" w14:paraId="14B44F4D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A16974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57678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2A639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3BFD7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767A2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38A9B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D3CE3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9BBE3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C5B4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A7A2B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19349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03925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112B3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</w:tr>
      <w:tr w:rsidR="00461E46" w:rsidRPr="003C5BCF" w14:paraId="7ECA0A8E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45300C8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 xml:space="preserve">Lung POCUS for interstitial lung disease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51E14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3B6A5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6B120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A0480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F7FD2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B7750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110EF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7804E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F5FFBD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4D214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016C4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A43D2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61E46" w:rsidRPr="003C5BCF" w14:paraId="668052C6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03D542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91F9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DCC84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FD2EE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FC3FC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27D7E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91FF7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01AC6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3FE32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FA330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5321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EA6C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193C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</w:tr>
      <w:tr w:rsidR="00461E46" w:rsidRPr="003C5BCF" w14:paraId="6534FFEB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3F46964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Diaphragm POCUS for diaphragm paralysis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7C1E0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98162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96D7C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E169B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A1DC6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90974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09874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97262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A06A7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20E9B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B3CC5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B2961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1E46" w:rsidRPr="003C5BCF" w14:paraId="11C8CB4F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4AB51C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2CBB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EDFF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82B32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20211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1FFC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DDD39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0A926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0729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598CA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6F06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F0E58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A129A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461E46" w:rsidRPr="003C5BCF" w14:paraId="4B40C312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F2C5A08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Breast POCUS for breast mass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86D7E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164B9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5F4F1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6A717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8F8D9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38A07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70ECA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34242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5ADD3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E4464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6871A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DCCA1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1E46" w:rsidRPr="003C5BCF" w14:paraId="5A566708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85BAA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313F3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53964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B9AF9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92D0E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4467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EF3CC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FCB04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03A74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342E1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850F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A7DBB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A3F0B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461E46" w:rsidRPr="003C5BCF" w14:paraId="1D602AFD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FBB93D8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Gastric POCUS for gastropathy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239B9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13B1D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9A465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8A660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7816B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0D63D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BB3F3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75D9C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319B1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17805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A48D2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C73C4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1E46" w:rsidRPr="003C5BCF" w14:paraId="6C28584F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DF26C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29C9C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2F18D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8840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4E333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10D9F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86D00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709E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731A8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CDE82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4F75E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B346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C6153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461E46" w:rsidRPr="003C5BCF" w14:paraId="2B03E2F5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2D0C888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Abdominal POCUS for small bowel obstruction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A9F0B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85224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80F0D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A3081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79705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D745E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A133F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9525E8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01EB1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A5919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CF812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9ACF0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61E46" w:rsidRPr="003C5BCF" w14:paraId="5BB7A3E4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68E12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52F4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948E9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2E123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E858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D55DF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1AE7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0F8CE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D939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41CF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47F50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905B2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05847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</w:tr>
      <w:tr w:rsidR="00461E46" w:rsidRPr="003C5BCF" w14:paraId="60AFE3F2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F1759CA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Abdominal POCUS for inflammatory bowel disease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DC6CC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46ED2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05EF7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C004C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84967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8C5DD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F802E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951C6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709C2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24399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C3695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AD33F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61E46" w:rsidRPr="003C5BCF" w14:paraId="1CA3C47A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8AADB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F7BA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46DB2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52573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7951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50811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4CCA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C348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D8F82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B52F2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DF11C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B0AD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9BAF6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</w:tr>
      <w:tr w:rsidR="00461E46" w:rsidRPr="003C5BCF" w14:paraId="2CA7C8B8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1B5448D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Abdominal POCUS for diverticulitis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13B2F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C543C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2C552C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04717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8169F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CA74F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F5A12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33962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14393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E41E7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7298F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64449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1E46" w:rsidRPr="003C5BCF" w14:paraId="56843302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C0459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CFAB7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F0D11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930ED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AC342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58A56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E9BA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369F9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959E6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EBA06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74687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D8F5D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5C646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461E46" w:rsidRPr="003C5BCF" w14:paraId="53499DE2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8A5B609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Kidney POCUS for chronic kidney disease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4536B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519E5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354E7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11298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727C7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1D3D5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C70C3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2CA37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883EB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DAA4C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EF7BB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6B1D2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1E46" w:rsidRPr="003C5BCF" w14:paraId="0C42619F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ABC98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1F6B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42F97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681C8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1BFF0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14678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D526D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3F32A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8663B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AC4EC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57065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9A9CC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7D7D7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461E46" w:rsidRPr="003C5BCF" w14:paraId="290DCD78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9A7D71E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Trans-abdominal uterine POCUS for ovarian mass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F4893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41E63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29ABE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B4107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E949E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C4E92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30520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C7DBD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49A64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7C4C6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8BF31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FAAEB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61E46" w:rsidRPr="003C5BCF" w14:paraId="574CE4EF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903B67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43AAD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E04C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0AE84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7D50B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8F735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48ED8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C555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F2BE8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84054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C470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CD61C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2E179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</w:tr>
      <w:tr w:rsidR="00461E46" w:rsidRPr="003C5BCF" w14:paraId="103768A8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BF78B2D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Trans-abdominal uterine POCUS for ovarian torsion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A31BD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6F961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DDD6C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859C1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C2B5C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C3E0A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8DD58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44C59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5C811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D0ACA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7CCBC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A258D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61E46" w:rsidRPr="003C5BCF" w14:paraId="60DB2081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6B71E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9BDBA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477D9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AB2DA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043BD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7943F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31E51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2EE60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3B240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E32FE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B1DD2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7EF7E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F8B8E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</w:tr>
      <w:tr w:rsidR="00461E46" w:rsidRPr="003C5BCF" w14:paraId="21B87D53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17AEED9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Trans-abdominal uterine POCUS for uterine mass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429D50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DEFB8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C63957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6933D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F6C1D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77C6F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19252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B4570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7BE1E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95B7C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B81FD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AB4D1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61E46" w:rsidRPr="003C5BCF" w14:paraId="1766D074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ACA9D0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B6BC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62F0A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B759C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C5E7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C1E5E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CEE5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702DE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9E276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595EA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0D8C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A09C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651A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</w:tr>
      <w:tr w:rsidR="00461E46" w:rsidRPr="003C5BCF" w14:paraId="73A47419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E57BDBE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Scrotum POCUS for epididymitis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17066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5E6CB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7DC8F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293FBA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2A37E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AF1A3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8CA70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EFF66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CDB9B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5AA6E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C2BF4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30867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61E46" w:rsidRPr="003C5BCF" w14:paraId="41C8CCF4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6EB9B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894AF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0E8FC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AF4E5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5C3EA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DCACF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E3616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1CB40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33B4A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A56BE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28D6C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C47F1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4D47D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</w:tr>
      <w:tr w:rsidR="00461E46" w:rsidRPr="003C5BCF" w14:paraId="6E76FBDF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6B970A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Long bone POCUS for long bone fracture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8E31C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185C4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89930F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F8426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A1875F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73151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FD1DA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68355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D2122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0E748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9A02A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650B7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61E46" w:rsidRPr="003C5BCF" w14:paraId="720AEAFE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A99A36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8E01B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51CE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93A09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83A6C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A300D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3B69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61403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EA152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3ABE2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DCC7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B9B31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186C9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</w:tr>
      <w:tr w:rsidR="00461E46" w:rsidRPr="003C5BCF" w14:paraId="043C6D31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7E60211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</w:rPr>
              <w:t>Muscle POCUS for sarcopenia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EA205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E68A9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604B9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403C7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5D6B7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EF9456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1A694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44BD6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823DE2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30D888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3BAAE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17AC5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61E46" w:rsidRPr="003C5BCF" w14:paraId="5E1B1F7E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59884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28C94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BE10E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9C46C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406F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9CED1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3F7C8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98427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3A5FAD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7557E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BADE09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E4EF4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BCB29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461E46" w:rsidRPr="003C5BCF" w14:paraId="22F20870" w14:textId="77777777" w:rsidTr="00720074">
        <w:trPr>
          <w:trHeight w:val="320"/>
        </w:trPr>
        <w:tc>
          <w:tcPr>
            <w:tcW w:w="2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94152A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5B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number of times selected (%)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FCD7C8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EEE03B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1D29B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D591F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4CA33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D1D642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97B502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07F85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CF5A74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CDF21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CDA0E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A235A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461E46" w:rsidRPr="003C5BCF" w14:paraId="71987197" w14:textId="77777777" w:rsidTr="00720074">
        <w:trPr>
          <w:trHeight w:val="340"/>
        </w:trPr>
        <w:tc>
          <w:tcPr>
            <w:tcW w:w="2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3A7B51" w14:textId="77777777" w:rsidR="00461E46" w:rsidRPr="003C5BCF" w:rsidRDefault="00461E46" w:rsidP="007200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99A8F7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F40411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4CCF3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B6AFC0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11DC3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F807A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D0C2D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CF182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F7C65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B406CF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75FE0E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A0242C" w14:textId="77777777" w:rsidR="00461E46" w:rsidRPr="003C5BCF" w:rsidRDefault="00461E46" w:rsidP="0072007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5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</w:t>
            </w:r>
          </w:p>
        </w:tc>
      </w:tr>
    </w:tbl>
    <w:p w14:paraId="004AA43F" w14:textId="77777777" w:rsidR="00461E46" w:rsidRPr="00581F27" w:rsidRDefault="00461E46" w:rsidP="00461E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The left-most column lists POCUS examinations deemed not useful in primary care per expert consensus. Columns 1-12 correspond to the following 12 listed r</w:t>
      </w:r>
      <w:r w:rsidRPr="00581F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easons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that were selected by expert panelists to indicate why a particular e</w:t>
      </w:r>
      <w:r w:rsidRPr="00581F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xamination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was</w:t>
      </w:r>
      <w:r w:rsidRPr="00581F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 w:rsidRPr="00581F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ot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r w:rsidRPr="00581F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seful for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Pr="00581F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rimary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 w:rsidRPr="00581F27">
        <w:rPr>
          <w:rFonts w:ascii="Times New Roman" w:eastAsia="Times New Roman" w:hAnsi="Times New Roman" w:cs="Times New Roman"/>
          <w:color w:val="000000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e. The reasons are listed in order of most-to-least cited by panelists. </w:t>
      </w:r>
    </w:p>
    <w:p w14:paraId="4A8BB810" w14:textId="77777777" w:rsidR="00461E46" w:rsidRPr="007267D0" w:rsidRDefault="00461E46" w:rsidP="00461E46">
      <w:pPr>
        <w:pStyle w:val="NoSpacing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t>The pathology should require radiology evaluation.</w:t>
      </w:r>
    </w:p>
    <w:p w14:paraId="6D2119F9" w14:textId="77777777" w:rsidR="00461E46" w:rsidRPr="007267D0" w:rsidRDefault="00461E46" w:rsidP="00461E46">
      <w:pPr>
        <w:pStyle w:val="NoSpacing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t>The POCUS exam is too difficult to perform.</w:t>
      </w:r>
    </w:p>
    <w:p w14:paraId="29EE5DB8" w14:textId="77777777" w:rsidR="00461E46" w:rsidRPr="007267D0" w:rsidRDefault="00461E46" w:rsidP="00461E46">
      <w:pPr>
        <w:pStyle w:val="NoSpacing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t>The POCUS exam should be performed by a specialist.</w:t>
      </w:r>
    </w:p>
    <w:p w14:paraId="388E23DA" w14:textId="77777777" w:rsidR="00461E46" w:rsidRPr="007267D0" w:rsidRDefault="00461E46" w:rsidP="00461E46">
      <w:pPr>
        <w:pStyle w:val="NoSpacing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t>The POCUS exam will not change management.</w:t>
      </w:r>
    </w:p>
    <w:p w14:paraId="40022B07" w14:textId="77777777" w:rsidR="00461E46" w:rsidRPr="007267D0" w:rsidRDefault="00461E46" w:rsidP="00461E46">
      <w:pPr>
        <w:pStyle w:val="NoSpacing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t>The pathology should be evaluated in the emergency room or inpatient setting.</w:t>
      </w:r>
    </w:p>
    <w:p w14:paraId="2E39744D" w14:textId="77777777" w:rsidR="00461E46" w:rsidRPr="007267D0" w:rsidRDefault="00461E46" w:rsidP="00461E46">
      <w:pPr>
        <w:pStyle w:val="NoSpacing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t>The pathology can be easily assessed by physical exam without POCUS.</w:t>
      </w:r>
    </w:p>
    <w:p w14:paraId="6D2F6FC2" w14:textId="77777777" w:rsidR="00461E46" w:rsidRPr="007267D0" w:rsidRDefault="00461E46" w:rsidP="00461E46">
      <w:pPr>
        <w:pStyle w:val="NoSpacing"/>
        <w:numPr>
          <w:ilvl w:val="0"/>
          <w:numId w:val="1"/>
        </w:numPr>
        <w:tabs>
          <w:tab w:val="left" w:pos="2970"/>
        </w:tabs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The pathology is rare.</w:t>
      </w:r>
    </w:p>
    <w:p w14:paraId="4FDF51BF" w14:textId="77777777" w:rsidR="00461E46" w:rsidRPr="007267D0" w:rsidRDefault="00461E46" w:rsidP="00461E46">
      <w:pPr>
        <w:pStyle w:val="NoSpacing"/>
        <w:numPr>
          <w:ilvl w:val="0"/>
          <w:numId w:val="1"/>
        </w:numPr>
        <w:tabs>
          <w:tab w:val="left" w:pos="297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t>The POCUS exam has too many pittfalls.</w:t>
      </w:r>
    </w:p>
    <w:p w14:paraId="454FF85C" w14:textId="77777777" w:rsidR="00461E46" w:rsidRPr="007267D0" w:rsidRDefault="00461E46" w:rsidP="00461E46">
      <w:pPr>
        <w:pStyle w:val="NoSpacing"/>
        <w:numPr>
          <w:ilvl w:val="0"/>
          <w:numId w:val="1"/>
        </w:numPr>
        <w:tabs>
          <w:tab w:val="left" w:pos="297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t>The sensitivity of the POCUS exam is too low.</w:t>
      </w:r>
    </w:p>
    <w:p w14:paraId="27F7B172" w14:textId="77777777" w:rsidR="00461E46" w:rsidRPr="007267D0" w:rsidRDefault="00461E46" w:rsidP="00461E46">
      <w:pPr>
        <w:pStyle w:val="NoSpacing"/>
        <w:numPr>
          <w:ilvl w:val="0"/>
          <w:numId w:val="1"/>
        </w:numPr>
        <w:tabs>
          <w:tab w:val="left" w:pos="2430"/>
        </w:tabs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t>The specificity of the POCUS exam is too low.</w:t>
      </w:r>
    </w:p>
    <w:p w14:paraId="645F3BF4" w14:textId="77777777" w:rsidR="00461E46" w:rsidRPr="007267D0" w:rsidRDefault="00461E46" w:rsidP="00461E46">
      <w:pPr>
        <w:pStyle w:val="NoSpacing"/>
        <w:numPr>
          <w:ilvl w:val="0"/>
          <w:numId w:val="1"/>
        </w:numPr>
        <w:tabs>
          <w:tab w:val="left" w:pos="2430"/>
        </w:tabs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t>The POCUS exam is too time-consuming.</w:t>
      </w:r>
    </w:p>
    <w:p w14:paraId="348BDBCE" w14:textId="77777777" w:rsidR="00461E46" w:rsidRPr="007267D0" w:rsidRDefault="00461E46" w:rsidP="00461E46">
      <w:pPr>
        <w:pStyle w:val="NoSpacing"/>
        <w:numPr>
          <w:ilvl w:val="0"/>
          <w:numId w:val="1"/>
        </w:numPr>
        <w:tabs>
          <w:tab w:val="left" w:pos="2430"/>
        </w:tabs>
        <w:spacing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267D0">
        <w:rPr>
          <w:rFonts w:ascii="Times New Roman" w:eastAsia="Times New Roman" w:hAnsi="Times New Roman" w:cs="Times New Roman"/>
          <w:color w:val="000000"/>
          <w:sz w:val="20"/>
          <w:szCs w:val="20"/>
        </w:rPr>
        <w:t>The POCUS exam requires equipment/presets that may not be available.</w:t>
      </w:r>
    </w:p>
    <w:p w14:paraId="747C3158" w14:textId="77777777" w:rsidR="00461E46" w:rsidRPr="00581F27" w:rsidRDefault="00461E46" w:rsidP="00461E4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72FA0B" w14:textId="77777777" w:rsidR="00F553FF" w:rsidRDefault="00F553FF"/>
    <w:sectPr w:rsidR="00F553FF" w:rsidSect="00461E46">
      <w:footerReference w:type="even" r:id="rId5"/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38679910"/>
      <w:docPartObj>
        <w:docPartGallery w:val="Page Numbers (Bottom of Page)"/>
        <w:docPartUnique/>
      </w:docPartObj>
    </w:sdtPr>
    <w:sdtContent>
      <w:p w14:paraId="5B7DF00F" w14:textId="77777777" w:rsidR="00461E46" w:rsidRDefault="00461E46" w:rsidP="00C80A7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F494B" w14:textId="77777777" w:rsidR="00461E46" w:rsidRDefault="00461E46" w:rsidP="00C80A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4800025"/>
      <w:docPartObj>
        <w:docPartGallery w:val="Page Numbers (Bottom of Page)"/>
        <w:docPartUnique/>
      </w:docPartObj>
    </w:sdtPr>
    <w:sdtContent>
      <w:p w14:paraId="0786B9FB" w14:textId="77777777" w:rsidR="00461E46" w:rsidRDefault="00461E46" w:rsidP="00C80A7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24</w:t>
        </w:r>
        <w:r>
          <w:rPr>
            <w:rStyle w:val="PageNumber"/>
          </w:rPr>
          <w:fldChar w:fldCharType="end"/>
        </w:r>
      </w:p>
    </w:sdtContent>
  </w:sdt>
  <w:p w14:paraId="56997A0B" w14:textId="77777777" w:rsidR="00461E46" w:rsidRDefault="00461E46" w:rsidP="00C80A7F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15F6B"/>
    <w:multiLevelType w:val="hybridMultilevel"/>
    <w:tmpl w:val="497CA2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24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46"/>
    <w:rsid w:val="003C2EF4"/>
    <w:rsid w:val="00446799"/>
    <w:rsid w:val="00461E46"/>
    <w:rsid w:val="006A7E07"/>
    <w:rsid w:val="00701021"/>
    <w:rsid w:val="00A205B8"/>
    <w:rsid w:val="00B74216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5A85C"/>
  <w15:chartTrackingRefBased/>
  <w15:docId w15:val="{469C3F6B-6E5E-42A2-8937-DD95DEC9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E4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E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E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E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E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E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E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E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E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E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E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E46"/>
    <w:rPr>
      <w:b/>
      <w:bCs/>
      <w:smallCaps/>
      <w:color w:val="0F4761" w:themeColor="accent1" w:themeShade="BF"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461E46"/>
  </w:style>
  <w:style w:type="paragraph" w:styleId="Footer">
    <w:name w:val="footer"/>
    <w:basedOn w:val="Normal"/>
    <w:link w:val="FooterChar"/>
    <w:uiPriority w:val="99"/>
    <w:unhideWhenUsed/>
    <w:rsid w:val="00461E46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461E46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61E46"/>
  </w:style>
  <w:style w:type="character" w:customStyle="1" w:styleId="normaltextrun">
    <w:name w:val="normaltextrun"/>
    <w:basedOn w:val="DefaultParagraphFont"/>
    <w:rsid w:val="00461E46"/>
  </w:style>
  <w:style w:type="paragraph" w:styleId="NoSpacing">
    <w:name w:val="No Spacing"/>
    <w:uiPriority w:val="1"/>
    <w:qFormat/>
    <w:rsid w:val="00461E46"/>
    <w:pPr>
      <w:spacing w:after="0" w:line="259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3250</Characters>
  <Application>Microsoft Office Word</Application>
  <DocSecurity>0</DocSecurity>
  <Lines>27</Lines>
  <Paragraphs>7</Paragraphs>
  <ScaleCrop>false</ScaleCrop>
  <Company>Springer Nature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2026-05-18T12:29:00Z</dcterms:created>
  <dcterms:modified xsi:type="dcterms:W3CDTF">2026-05-18T12:29:00Z</dcterms:modified>
</cp:coreProperties>
</file>