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2378" w14:textId="77777777" w:rsidR="00821A06" w:rsidRPr="00BD089B" w:rsidRDefault="00821A06" w:rsidP="00821A06">
      <w:pPr>
        <w:spacing w:after="0" w:line="256" w:lineRule="auto"/>
        <w:rPr>
          <w:rFonts w:ascii="Times New Roman" w:eastAsia="Calibri" w:hAnsi="Times New Roman" w:cs="Times New Roman"/>
          <w:b/>
          <w:bCs/>
          <w:szCs w:val="22"/>
          <w:lang w:val="en-GB"/>
        </w:rPr>
      </w:pPr>
      <w:r w:rsidRPr="00BD089B">
        <w:rPr>
          <w:rFonts w:ascii="Times New Roman" w:eastAsia="Calibri" w:hAnsi="Times New Roman" w:cs="Times New Roman"/>
          <w:b/>
          <w:bCs/>
          <w:szCs w:val="22"/>
          <w:lang w:val="en-GB"/>
        </w:rPr>
        <w:t>Table 1. Baseline demographic and clinical characteristics of the study cohort</w:t>
      </w:r>
    </w:p>
    <w:p w14:paraId="247C7AC0" w14:textId="77777777" w:rsidR="00821A06" w:rsidRPr="00BD089B" w:rsidRDefault="00821A06" w:rsidP="00821A06">
      <w:pPr>
        <w:spacing w:after="0" w:line="256" w:lineRule="auto"/>
        <w:rPr>
          <w:rFonts w:ascii="Times New Roman" w:eastAsia="Calibri" w:hAnsi="Times New Roman" w:cs="Times New Roman"/>
          <w:sz w:val="22"/>
          <w:szCs w:val="22"/>
          <w:lang w:val="en-GB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3537"/>
        <w:gridCol w:w="2208"/>
      </w:tblGrid>
      <w:tr w:rsidR="00821A06" w:rsidRPr="00BD089B" w14:paraId="179D133D" w14:textId="77777777" w:rsidTr="0090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67DEE84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Variable</w:t>
            </w:r>
          </w:p>
        </w:tc>
        <w:tc>
          <w:tcPr>
            <w:tcW w:w="0" w:type="auto"/>
            <w:hideMark/>
          </w:tcPr>
          <w:p w14:paraId="383424D5" w14:textId="77777777" w:rsidR="00821A06" w:rsidRPr="00BD089B" w:rsidRDefault="00821A06" w:rsidP="00907EAD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n (%) or mean ± SD</w:t>
            </w:r>
          </w:p>
          <w:p w14:paraId="4375C1EA" w14:textId="77777777" w:rsidR="00821A06" w:rsidRPr="00BD089B" w:rsidRDefault="00821A06" w:rsidP="00907EAD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n=30</w:t>
            </w:r>
          </w:p>
        </w:tc>
      </w:tr>
      <w:tr w:rsidR="00821A06" w:rsidRPr="00BD089B" w14:paraId="138A89BD" w14:textId="77777777" w:rsidTr="0090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F7CDD8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Age (years)</w:t>
            </w:r>
          </w:p>
        </w:tc>
        <w:tc>
          <w:tcPr>
            <w:tcW w:w="0" w:type="auto"/>
            <w:hideMark/>
          </w:tcPr>
          <w:p w14:paraId="60A0CAA2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37.23 ± 10.15</w:t>
            </w:r>
          </w:p>
        </w:tc>
      </w:tr>
      <w:tr w:rsidR="00821A06" w:rsidRPr="00BD089B" w14:paraId="73E303B2" w14:textId="77777777" w:rsidTr="00907EAD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D2C5D1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Sex</w:t>
            </w:r>
          </w:p>
          <w:p w14:paraId="64FBB891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Male</w:t>
            </w:r>
          </w:p>
          <w:p w14:paraId="27E4841E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Female</w:t>
            </w:r>
          </w:p>
        </w:tc>
        <w:tc>
          <w:tcPr>
            <w:tcW w:w="0" w:type="auto"/>
          </w:tcPr>
          <w:p w14:paraId="04AD4CE4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</w:p>
          <w:p w14:paraId="076B8014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17 (56.7)</w:t>
            </w:r>
          </w:p>
          <w:p w14:paraId="421D2A0D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13 (43.3)</w:t>
            </w:r>
          </w:p>
        </w:tc>
      </w:tr>
      <w:tr w:rsidR="00821A06" w:rsidRPr="00BD089B" w14:paraId="1BB98B7F" w14:textId="77777777" w:rsidTr="0090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11AEBC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Etiology / tumour type (histology)</w:t>
            </w:r>
          </w:p>
          <w:p w14:paraId="2C6951DE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Ameloblastoma</w:t>
            </w:r>
          </w:p>
          <w:p w14:paraId="5F7676E1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Odontogenic keratocyst</w:t>
            </w:r>
          </w:p>
          <w:p w14:paraId="5EBB8FA5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Odontogenic myxoma</w:t>
            </w:r>
          </w:p>
          <w:p w14:paraId="5C829B16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Vascular malformation</w:t>
            </w:r>
          </w:p>
          <w:p w14:paraId="19847549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Ossifying fibroma</w:t>
            </w:r>
          </w:p>
        </w:tc>
        <w:tc>
          <w:tcPr>
            <w:tcW w:w="0" w:type="auto"/>
          </w:tcPr>
          <w:p w14:paraId="09942047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</w:p>
          <w:p w14:paraId="12A70476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12 (40.0)</w:t>
            </w:r>
          </w:p>
          <w:p w14:paraId="2C62CCFA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8 (26.7)</w:t>
            </w:r>
          </w:p>
          <w:p w14:paraId="655E6FCE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 (13.3)</w:t>
            </w:r>
          </w:p>
          <w:p w14:paraId="72F41BA2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3 (10.0)</w:t>
            </w:r>
          </w:p>
          <w:p w14:paraId="19D501FA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3 (10.0)</w:t>
            </w:r>
          </w:p>
        </w:tc>
      </w:tr>
      <w:tr w:rsidR="00821A06" w:rsidRPr="00BD089B" w14:paraId="6D633F68" w14:textId="77777777" w:rsidTr="00907EAD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29390A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Defect site</w:t>
            </w:r>
          </w:p>
          <w:p w14:paraId="207E0D6D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Body defect</w:t>
            </w:r>
          </w:p>
          <w:p w14:paraId="1ED5CB71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Body + angle defect</w:t>
            </w:r>
          </w:p>
          <w:p w14:paraId="0AEA7469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Body + angle + ramus defect</w:t>
            </w:r>
          </w:p>
        </w:tc>
        <w:tc>
          <w:tcPr>
            <w:tcW w:w="0" w:type="auto"/>
          </w:tcPr>
          <w:p w14:paraId="5F80A920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</w:p>
          <w:p w14:paraId="65E50751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13 (43.3)</w:t>
            </w:r>
          </w:p>
          <w:p w14:paraId="1E568E56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9 (30.0)</w:t>
            </w:r>
          </w:p>
          <w:p w14:paraId="799F3FE5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8 (26.7)</w:t>
            </w:r>
          </w:p>
        </w:tc>
      </w:tr>
      <w:tr w:rsidR="00821A06" w:rsidRPr="00BD089B" w14:paraId="26ACEB09" w14:textId="77777777" w:rsidTr="0090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846581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Reconstruction time (min)</w:t>
            </w:r>
          </w:p>
        </w:tc>
        <w:tc>
          <w:tcPr>
            <w:tcW w:w="0" w:type="auto"/>
            <w:hideMark/>
          </w:tcPr>
          <w:p w14:paraId="5936CEEB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59.13 ± 12.25</w:t>
            </w:r>
          </w:p>
        </w:tc>
      </w:tr>
    </w:tbl>
    <w:p w14:paraId="075359E2" w14:textId="77777777" w:rsidR="00E023F9" w:rsidRDefault="00E023F9"/>
    <w:p w14:paraId="523851DF" w14:textId="77777777" w:rsidR="00821A06" w:rsidRDefault="00821A06"/>
    <w:p w14:paraId="6D29868F" w14:textId="77777777" w:rsidR="00821A06" w:rsidRDefault="00821A06"/>
    <w:p w14:paraId="0038A33B" w14:textId="77777777" w:rsidR="00821A06" w:rsidRPr="00BD089B" w:rsidRDefault="00821A06" w:rsidP="00821A06">
      <w:pPr>
        <w:spacing w:after="0" w:line="256" w:lineRule="auto"/>
        <w:rPr>
          <w:rFonts w:ascii="Times New Roman" w:eastAsia="Calibri" w:hAnsi="Times New Roman" w:cs="Times New Roman"/>
          <w:b/>
          <w:bCs/>
          <w:szCs w:val="22"/>
          <w:lang w:val="en-GB"/>
        </w:rPr>
      </w:pPr>
      <w:r w:rsidRPr="00BD089B">
        <w:rPr>
          <w:rFonts w:ascii="Times New Roman" w:eastAsia="Calibri" w:hAnsi="Times New Roman" w:cs="Times New Roman"/>
          <w:b/>
          <w:bCs/>
          <w:szCs w:val="22"/>
          <w:lang w:val="en-GB"/>
        </w:rPr>
        <w:t>Table 4. Operative and clinical outcomes according to defect site</w:t>
      </w:r>
    </w:p>
    <w:p w14:paraId="17DAC0F0" w14:textId="77777777" w:rsidR="00821A06" w:rsidRPr="00BD089B" w:rsidRDefault="00821A06" w:rsidP="00821A06">
      <w:pPr>
        <w:spacing w:after="0" w:line="256" w:lineRule="auto"/>
        <w:rPr>
          <w:rFonts w:ascii="Times New Roman" w:eastAsia="Calibri" w:hAnsi="Times New Roman" w:cs="Times New Roman"/>
          <w:sz w:val="22"/>
          <w:szCs w:val="22"/>
          <w:lang w:val="en-GB"/>
        </w:rPr>
      </w:pPr>
    </w:p>
    <w:tbl>
      <w:tblPr>
        <w:tblStyle w:val="PlainTable5"/>
        <w:tblW w:w="10216" w:type="dxa"/>
        <w:tblLook w:val="04A0" w:firstRow="1" w:lastRow="0" w:firstColumn="1" w:lastColumn="0" w:noHBand="0" w:noVBand="1"/>
      </w:tblPr>
      <w:tblGrid>
        <w:gridCol w:w="2969"/>
        <w:gridCol w:w="1801"/>
        <w:gridCol w:w="1605"/>
        <w:gridCol w:w="1417"/>
        <w:gridCol w:w="1559"/>
        <w:gridCol w:w="865"/>
      </w:tblGrid>
      <w:tr w:rsidR="00821A06" w:rsidRPr="00BD089B" w14:paraId="02AE07AD" w14:textId="77777777" w:rsidTr="0090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69" w:type="dxa"/>
            <w:hideMark/>
          </w:tcPr>
          <w:p w14:paraId="3E287B00" w14:textId="77777777" w:rsidR="00821A06" w:rsidRPr="00BD089B" w:rsidRDefault="00821A06" w:rsidP="00907EA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Variable</w:t>
            </w:r>
          </w:p>
        </w:tc>
        <w:tc>
          <w:tcPr>
            <w:tcW w:w="0" w:type="auto"/>
            <w:hideMark/>
          </w:tcPr>
          <w:p w14:paraId="32037F9B" w14:textId="77777777" w:rsidR="00821A06" w:rsidRPr="00BD089B" w:rsidRDefault="00821A06" w:rsidP="00907EAD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Body + Angle + Ramus (n=8)</w:t>
            </w:r>
          </w:p>
        </w:tc>
        <w:tc>
          <w:tcPr>
            <w:tcW w:w="1605" w:type="dxa"/>
            <w:hideMark/>
          </w:tcPr>
          <w:p w14:paraId="4B4329BC" w14:textId="77777777" w:rsidR="00821A06" w:rsidRPr="00BD089B" w:rsidRDefault="00821A06" w:rsidP="00907EAD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Body + Angle (n=9)</w:t>
            </w:r>
          </w:p>
        </w:tc>
        <w:tc>
          <w:tcPr>
            <w:tcW w:w="1417" w:type="dxa"/>
            <w:hideMark/>
          </w:tcPr>
          <w:p w14:paraId="6AA4F5A0" w14:textId="77777777" w:rsidR="00821A06" w:rsidRPr="00BD089B" w:rsidRDefault="00821A06" w:rsidP="00907EAD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Body (n=13)</w:t>
            </w:r>
          </w:p>
        </w:tc>
        <w:tc>
          <w:tcPr>
            <w:tcW w:w="1559" w:type="dxa"/>
            <w:hideMark/>
          </w:tcPr>
          <w:p w14:paraId="556FDD48" w14:textId="77777777" w:rsidR="00821A06" w:rsidRPr="00BD089B" w:rsidRDefault="00821A06" w:rsidP="00907EAD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Total (n=30)</w:t>
            </w:r>
          </w:p>
        </w:tc>
        <w:tc>
          <w:tcPr>
            <w:tcW w:w="0" w:type="auto"/>
            <w:hideMark/>
          </w:tcPr>
          <w:p w14:paraId="3F88EB0C" w14:textId="77777777" w:rsidR="00821A06" w:rsidRPr="00BD089B" w:rsidRDefault="00821A06" w:rsidP="00907EAD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p value</w:t>
            </w:r>
          </w:p>
        </w:tc>
      </w:tr>
      <w:tr w:rsidR="00821A06" w:rsidRPr="00BD089B" w14:paraId="6EDB0562" w14:textId="77777777" w:rsidTr="0090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  <w:hideMark/>
          </w:tcPr>
          <w:p w14:paraId="696922EE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Reconstruction time (min)</w:t>
            </w:r>
          </w:p>
        </w:tc>
        <w:tc>
          <w:tcPr>
            <w:tcW w:w="0" w:type="auto"/>
            <w:hideMark/>
          </w:tcPr>
          <w:p w14:paraId="016DEF51" w14:textId="77777777" w:rsidR="00821A06" w:rsidRPr="00BD089B" w:rsidRDefault="00821A06" w:rsidP="00907EAD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64.88 ± 5.96</w:t>
            </w:r>
          </w:p>
        </w:tc>
        <w:tc>
          <w:tcPr>
            <w:tcW w:w="1605" w:type="dxa"/>
            <w:hideMark/>
          </w:tcPr>
          <w:p w14:paraId="71829B4A" w14:textId="77777777" w:rsidR="00821A06" w:rsidRPr="00BD089B" w:rsidRDefault="00821A06" w:rsidP="00907EAD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62.33 ± 17.23</w:t>
            </w:r>
          </w:p>
        </w:tc>
        <w:tc>
          <w:tcPr>
            <w:tcW w:w="1417" w:type="dxa"/>
            <w:hideMark/>
          </w:tcPr>
          <w:p w14:paraId="3A8C4DCF" w14:textId="77777777" w:rsidR="00821A06" w:rsidRPr="00BD089B" w:rsidRDefault="00821A06" w:rsidP="00907EAD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53.38 ± 8.86</w:t>
            </w:r>
          </w:p>
        </w:tc>
        <w:tc>
          <w:tcPr>
            <w:tcW w:w="1559" w:type="dxa"/>
            <w:hideMark/>
          </w:tcPr>
          <w:p w14:paraId="3391E12E" w14:textId="77777777" w:rsidR="00821A06" w:rsidRPr="00BD089B" w:rsidRDefault="00821A06" w:rsidP="00907EAD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59.13 ± 12.25</w:t>
            </w:r>
          </w:p>
        </w:tc>
        <w:tc>
          <w:tcPr>
            <w:tcW w:w="0" w:type="auto"/>
            <w:hideMark/>
          </w:tcPr>
          <w:p w14:paraId="7E787986" w14:textId="77777777" w:rsidR="00821A06" w:rsidRPr="00BD089B" w:rsidRDefault="00821A06" w:rsidP="00907EAD">
            <w:pPr>
              <w:spacing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0.068</w:t>
            </w:r>
          </w:p>
        </w:tc>
      </w:tr>
      <w:tr w:rsidR="00821A06" w:rsidRPr="00BD089B" w14:paraId="520E8CFA" w14:textId="77777777" w:rsidTr="00907EAD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9" w:type="dxa"/>
            <w:hideMark/>
          </w:tcPr>
          <w:p w14:paraId="636A7C9B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Patient satisfaction, n (%)</w:t>
            </w:r>
          </w:p>
          <w:p w14:paraId="073B37D4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Very satisfied</w:t>
            </w:r>
          </w:p>
          <w:p w14:paraId="05D97A9D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Satisfied</w:t>
            </w:r>
          </w:p>
          <w:p w14:paraId="03418E2A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Neutral</w:t>
            </w:r>
          </w:p>
        </w:tc>
        <w:tc>
          <w:tcPr>
            <w:tcW w:w="0" w:type="auto"/>
          </w:tcPr>
          <w:p w14:paraId="04F78C6C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</w:p>
          <w:p w14:paraId="27D2B054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8 (100.0)</w:t>
            </w:r>
          </w:p>
          <w:p w14:paraId="58C34D9D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 (0.0)</w:t>
            </w:r>
          </w:p>
          <w:p w14:paraId="57855916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 (0.0)</w:t>
            </w:r>
          </w:p>
        </w:tc>
        <w:tc>
          <w:tcPr>
            <w:tcW w:w="1605" w:type="dxa"/>
          </w:tcPr>
          <w:p w14:paraId="31B78972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</w:p>
          <w:p w14:paraId="692095D4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7 (77.8)</w:t>
            </w:r>
          </w:p>
          <w:p w14:paraId="2220E7CB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 (11.1)</w:t>
            </w:r>
          </w:p>
          <w:p w14:paraId="6369214C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 (11.1)</w:t>
            </w:r>
          </w:p>
        </w:tc>
        <w:tc>
          <w:tcPr>
            <w:tcW w:w="1417" w:type="dxa"/>
          </w:tcPr>
          <w:p w14:paraId="532F568C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</w:p>
          <w:p w14:paraId="5A180EF3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8 (61.5)</w:t>
            </w:r>
          </w:p>
          <w:p w14:paraId="6802752A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3 (23.1)</w:t>
            </w:r>
          </w:p>
          <w:p w14:paraId="4155B3E2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 (15.4)</w:t>
            </w:r>
          </w:p>
        </w:tc>
        <w:tc>
          <w:tcPr>
            <w:tcW w:w="1559" w:type="dxa"/>
          </w:tcPr>
          <w:p w14:paraId="0FE2C6F6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</w:p>
          <w:p w14:paraId="09F78763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23 (76.7)</w:t>
            </w:r>
          </w:p>
          <w:p w14:paraId="7811A765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 (13.3)</w:t>
            </w:r>
          </w:p>
          <w:p w14:paraId="584FC401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3 (10.0)</w:t>
            </w:r>
          </w:p>
        </w:tc>
        <w:tc>
          <w:tcPr>
            <w:tcW w:w="0" w:type="auto"/>
            <w:hideMark/>
          </w:tcPr>
          <w:p w14:paraId="071F2D03" w14:textId="77777777" w:rsidR="00821A06" w:rsidRPr="00BD089B" w:rsidRDefault="00821A06" w:rsidP="00907EAD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0.383*</w:t>
            </w:r>
          </w:p>
        </w:tc>
      </w:tr>
    </w:tbl>
    <w:p w14:paraId="13433834" w14:textId="77777777" w:rsidR="00821A06" w:rsidRPr="00BD089B" w:rsidRDefault="00821A06" w:rsidP="00821A06">
      <w:pPr>
        <w:spacing w:after="0" w:line="256" w:lineRule="auto"/>
        <w:rPr>
          <w:rFonts w:ascii="Times New Roman" w:eastAsia="Calibri" w:hAnsi="Times New Roman" w:cs="Times New Roman"/>
          <w:sz w:val="22"/>
          <w:szCs w:val="22"/>
          <w:lang w:val="en-GB"/>
        </w:rPr>
      </w:pPr>
    </w:p>
    <w:p w14:paraId="14CFCD27" w14:textId="77777777" w:rsidR="00821A06" w:rsidRPr="00FA7C3A" w:rsidRDefault="00821A06" w:rsidP="00821A06">
      <w:pPr>
        <w:rPr>
          <w:rFonts w:ascii="Times New Roman" w:eastAsia="Calibri" w:hAnsi="Times New Roman" w:cs="Times New Roman"/>
          <w:b/>
          <w:bCs/>
          <w:szCs w:val="22"/>
          <w:lang w:val="en-GB"/>
        </w:rPr>
      </w:pPr>
      <w:r w:rsidRPr="00FA7C3A">
        <w:rPr>
          <w:rFonts w:ascii="Times New Roman" w:eastAsia="Calibri" w:hAnsi="Times New Roman" w:cs="Times New Roman"/>
          <w:b/>
          <w:bCs/>
          <w:szCs w:val="22"/>
          <w:lang w:val="en-GB"/>
        </w:rPr>
        <w:br w:type="page"/>
      </w:r>
    </w:p>
    <w:p w14:paraId="7CE6121F" w14:textId="77777777" w:rsidR="00821A06" w:rsidRPr="00BD089B" w:rsidRDefault="00821A06" w:rsidP="00821A06">
      <w:pPr>
        <w:spacing w:after="0" w:line="256" w:lineRule="auto"/>
        <w:rPr>
          <w:rFonts w:ascii="Times New Roman" w:eastAsia="Calibri" w:hAnsi="Times New Roman" w:cs="Times New Roman"/>
          <w:b/>
          <w:bCs/>
          <w:szCs w:val="22"/>
          <w:lang w:val="en-GB"/>
        </w:rPr>
      </w:pPr>
      <w:r w:rsidRPr="00BD089B">
        <w:rPr>
          <w:rFonts w:ascii="Times New Roman" w:eastAsia="Calibri" w:hAnsi="Times New Roman" w:cs="Times New Roman"/>
          <w:b/>
          <w:bCs/>
          <w:szCs w:val="22"/>
          <w:lang w:val="en-GB"/>
        </w:rPr>
        <w:lastRenderedPageBreak/>
        <w:t>Table 6. Functional outcomes, graft success, and Postoperative complications</w:t>
      </w:r>
    </w:p>
    <w:p w14:paraId="21523696" w14:textId="77777777" w:rsidR="00821A06" w:rsidRPr="00BD089B" w:rsidRDefault="00821A06" w:rsidP="00821A06">
      <w:pPr>
        <w:spacing w:after="0" w:line="256" w:lineRule="auto"/>
        <w:rPr>
          <w:rFonts w:ascii="Times New Roman" w:eastAsia="Calibri" w:hAnsi="Times New Roman" w:cs="Times New Roman"/>
          <w:sz w:val="22"/>
          <w:szCs w:val="22"/>
          <w:lang w:val="en-GB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4695"/>
        <w:gridCol w:w="1255"/>
      </w:tblGrid>
      <w:tr w:rsidR="00821A06" w:rsidRPr="00BD089B" w14:paraId="7AD0B7F7" w14:textId="77777777" w:rsidTr="00907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A04CDC4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Outcome</w:t>
            </w:r>
          </w:p>
        </w:tc>
        <w:tc>
          <w:tcPr>
            <w:tcW w:w="1255" w:type="dxa"/>
            <w:hideMark/>
          </w:tcPr>
          <w:p w14:paraId="5556B7A9" w14:textId="77777777" w:rsidR="00821A06" w:rsidRPr="00BD089B" w:rsidRDefault="00821A06" w:rsidP="00907EAD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n (%)</w:t>
            </w:r>
          </w:p>
        </w:tc>
      </w:tr>
      <w:tr w:rsidR="00821A06" w:rsidRPr="00BD089B" w14:paraId="4F3332FD" w14:textId="77777777" w:rsidTr="0090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2E7C50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Postoperative occlusion</w:t>
            </w:r>
          </w:p>
          <w:p w14:paraId="7663CD05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Stable postoperative occlusion</w:t>
            </w:r>
          </w:p>
          <w:p w14:paraId="6DBD2F5A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Minor occlusal discrepancy</w:t>
            </w:r>
          </w:p>
          <w:p w14:paraId="0DCE7753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Malocclusion</w:t>
            </w:r>
          </w:p>
        </w:tc>
        <w:tc>
          <w:tcPr>
            <w:tcW w:w="1255" w:type="dxa"/>
          </w:tcPr>
          <w:p w14:paraId="44C466B8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</w:p>
          <w:p w14:paraId="3DA58A32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28 (93.3)</w:t>
            </w:r>
          </w:p>
          <w:p w14:paraId="12B3627B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 (6.7)</w:t>
            </w:r>
          </w:p>
          <w:p w14:paraId="06D5B2A6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 (0.0)</w:t>
            </w:r>
          </w:p>
        </w:tc>
      </w:tr>
      <w:tr w:rsidR="00821A06" w:rsidRPr="00BD089B" w14:paraId="6BE067EE" w14:textId="77777777" w:rsidTr="00907EAD">
        <w:trPr>
          <w:trHeight w:val="1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3805F3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Patient satisfaction</w:t>
            </w:r>
          </w:p>
          <w:p w14:paraId="524926A6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Very satisfied</w:t>
            </w:r>
          </w:p>
          <w:p w14:paraId="5B5C9362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Satisfied</w:t>
            </w:r>
          </w:p>
          <w:p w14:paraId="098EF1B8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Neutral</w:t>
            </w:r>
          </w:p>
          <w:p w14:paraId="4BDBCE86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Dissatisfied</w:t>
            </w:r>
          </w:p>
          <w:p w14:paraId="4A8ECABD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Very dissatisfied</w:t>
            </w:r>
          </w:p>
        </w:tc>
        <w:tc>
          <w:tcPr>
            <w:tcW w:w="1255" w:type="dxa"/>
          </w:tcPr>
          <w:p w14:paraId="63048941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</w:p>
          <w:p w14:paraId="40125F3A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23 (76.7)</w:t>
            </w:r>
          </w:p>
          <w:p w14:paraId="1BDBFB08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4 (13.3)</w:t>
            </w:r>
          </w:p>
          <w:p w14:paraId="613A15E8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3 (10.0)</w:t>
            </w:r>
          </w:p>
          <w:p w14:paraId="0C67415F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 (0.0)</w:t>
            </w:r>
          </w:p>
          <w:p w14:paraId="7043960D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 (0.0)</w:t>
            </w:r>
          </w:p>
        </w:tc>
      </w:tr>
      <w:tr w:rsidR="00821A06" w:rsidRPr="00BD089B" w14:paraId="13E26FF6" w14:textId="77777777" w:rsidTr="0090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00155E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Graft success rate</w:t>
            </w:r>
          </w:p>
          <w:p w14:paraId="6D406D05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Successful integration and immobilization</w:t>
            </w:r>
          </w:p>
          <w:p w14:paraId="5BA349A8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Absence of exposure</w:t>
            </w:r>
          </w:p>
          <w:p w14:paraId="224DA127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Second surgery for removal</w:t>
            </w:r>
          </w:p>
        </w:tc>
        <w:tc>
          <w:tcPr>
            <w:tcW w:w="1255" w:type="dxa"/>
          </w:tcPr>
          <w:p w14:paraId="172C16F5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</w:p>
          <w:p w14:paraId="11797AEA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29 (96.7)</w:t>
            </w:r>
          </w:p>
          <w:p w14:paraId="7C6D288A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29 (96.7)</w:t>
            </w:r>
          </w:p>
          <w:p w14:paraId="02B9258E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 (3.3)</w:t>
            </w:r>
          </w:p>
        </w:tc>
      </w:tr>
      <w:tr w:rsidR="00821A06" w:rsidRPr="00BD089B" w14:paraId="1E289AC1" w14:textId="77777777" w:rsidTr="00907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EDECC2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Overall graft success</w:t>
            </w:r>
          </w:p>
        </w:tc>
        <w:tc>
          <w:tcPr>
            <w:tcW w:w="1255" w:type="dxa"/>
            <w:hideMark/>
          </w:tcPr>
          <w:p w14:paraId="72A0CEC0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29 (96.7)</w:t>
            </w:r>
          </w:p>
        </w:tc>
      </w:tr>
      <w:tr w:rsidR="00821A06" w:rsidRPr="00BD089B" w14:paraId="5A6C4E03" w14:textId="77777777" w:rsidTr="00907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C5B376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Overall graft failure</w:t>
            </w:r>
          </w:p>
        </w:tc>
        <w:tc>
          <w:tcPr>
            <w:tcW w:w="1255" w:type="dxa"/>
            <w:hideMark/>
          </w:tcPr>
          <w:p w14:paraId="39826513" w14:textId="77777777" w:rsidR="00821A06" w:rsidRPr="00BD089B" w:rsidRDefault="00821A06" w:rsidP="00907EAD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 (3.3)</w:t>
            </w:r>
          </w:p>
        </w:tc>
      </w:tr>
      <w:tr w:rsidR="00821A06" w:rsidRPr="00BD089B" w14:paraId="22DFD6D2" w14:textId="77777777" w:rsidTr="00907EAD">
        <w:trPr>
          <w:trHeight w:val="3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F9A734" w14:textId="77777777" w:rsidR="00821A06" w:rsidRPr="00BD089B" w:rsidRDefault="00821A06" w:rsidP="00907EAD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  <w:t>Postoperative complications</w:t>
            </w:r>
          </w:p>
          <w:p w14:paraId="0F902EC4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Recipient-site infection</w:t>
            </w:r>
          </w:p>
          <w:p w14:paraId="295EC383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Recipient-site wound dehiscence</w:t>
            </w:r>
          </w:p>
          <w:p w14:paraId="337F35CF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Plate loosening/removal</w:t>
            </w:r>
          </w:p>
          <w:p w14:paraId="32400909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Reoperation</w:t>
            </w:r>
          </w:p>
          <w:p w14:paraId="5DA77902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Malocclusion relapse</w:t>
            </w:r>
          </w:p>
          <w:p w14:paraId="7CDA1A4A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Donor-site infection</w:t>
            </w:r>
          </w:p>
          <w:p w14:paraId="562F7D8C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Donor-site wound dehiscence</w:t>
            </w:r>
          </w:p>
          <w:p w14:paraId="76F036A7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Pneumothorax</w:t>
            </w:r>
          </w:p>
          <w:p w14:paraId="786D99DA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Early complication during first 6 months</w:t>
            </w:r>
          </w:p>
          <w:p w14:paraId="1FB443B2" w14:textId="77777777" w:rsidR="00821A06" w:rsidRPr="00BD089B" w:rsidRDefault="00821A06" w:rsidP="00907EAD">
            <w:pPr>
              <w:spacing w:line="256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4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Late complication during second 6 months</w:t>
            </w:r>
          </w:p>
        </w:tc>
        <w:tc>
          <w:tcPr>
            <w:tcW w:w="1255" w:type="dxa"/>
          </w:tcPr>
          <w:p w14:paraId="6195D51C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</w:p>
          <w:p w14:paraId="4C1D7E05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 (0.0)</w:t>
            </w:r>
          </w:p>
          <w:p w14:paraId="22786068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 (0.0)</w:t>
            </w:r>
          </w:p>
          <w:p w14:paraId="7F174068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 (3.3)</w:t>
            </w:r>
          </w:p>
          <w:p w14:paraId="3A0ED2B0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 (0.0)</w:t>
            </w:r>
          </w:p>
          <w:p w14:paraId="65B57BFB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 (0.0)</w:t>
            </w:r>
          </w:p>
          <w:p w14:paraId="7E624869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 (0.0)</w:t>
            </w:r>
          </w:p>
          <w:p w14:paraId="1B80EA7E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 (0.0)</w:t>
            </w:r>
          </w:p>
          <w:p w14:paraId="3BB0B17A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 (0.0)</w:t>
            </w:r>
          </w:p>
          <w:p w14:paraId="049556A9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0 (0.0)</w:t>
            </w:r>
          </w:p>
          <w:p w14:paraId="702A53DA" w14:textId="77777777" w:rsidR="00821A06" w:rsidRPr="00BD089B" w:rsidRDefault="00821A06" w:rsidP="00907EA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Cs w:val="22"/>
                <w:lang w:val="en-GB"/>
              </w:rPr>
            </w:pPr>
            <w:r w:rsidRPr="00BD089B">
              <w:rPr>
                <w:rFonts w:ascii="Times New Roman" w:eastAsia="Calibri" w:hAnsi="Times New Roman" w:cs="Times New Roman"/>
                <w:sz w:val="22"/>
                <w:szCs w:val="22"/>
                <w:lang w:val="en-GB"/>
              </w:rPr>
              <w:t>1 (3.3)</w:t>
            </w:r>
          </w:p>
        </w:tc>
      </w:tr>
    </w:tbl>
    <w:p w14:paraId="0040FD40" w14:textId="77777777" w:rsidR="00821A06" w:rsidRPr="00BD089B" w:rsidRDefault="00821A06" w:rsidP="00821A06">
      <w:pPr>
        <w:spacing w:after="0" w:line="256" w:lineRule="auto"/>
        <w:rPr>
          <w:rFonts w:ascii="Times New Roman" w:eastAsia="Calibri" w:hAnsi="Times New Roman" w:cs="Times New Roman"/>
          <w:sz w:val="22"/>
          <w:szCs w:val="22"/>
          <w:lang w:val="en-GB"/>
        </w:rPr>
      </w:pPr>
    </w:p>
    <w:p w14:paraId="687F8C5C" w14:textId="77777777" w:rsidR="00821A06" w:rsidRDefault="00821A06"/>
    <w:sectPr w:rsidR="00821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06"/>
    <w:rsid w:val="000C4033"/>
    <w:rsid w:val="00173ED8"/>
    <w:rsid w:val="004B42CB"/>
    <w:rsid w:val="005F2B46"/>
    <w:rsid w:val="006E1731"/>
    <w:rsid w:val="00821A06"/>
    <w:rsid w:val="00866D74"/>
    <w:rsid w:val="00882A73"/>
    <w:rsid w:val="00B260B7"/>
    <w:rsid w:val="00B85331"/>
    <w:rsid w:val="00D575DA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01BA"/>
  <w15:chartTrackingRefBased/>
  <w15:docId w15:val="{5A0023F7-07B4-4384-BFC7-E3CF81A2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A0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82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82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A06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82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A06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82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A06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821A06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2026-04-20T06:44:00Z</dcterms:created>
  <dcterms:modified xsi:type="dcterms:W3CDTF">2026-04-20T06:45:00Z</dcterms:modified>
</cp:coreProperties>
</file>