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8FD67">
      <w:pPr>
        <w:widowControl w:val="0"/>
        <w:jc w:val="both"/>
        <w:rPr>
          <w:rFonts w:ascii="Times New Roman" w:hAnsi="Times New Roman" w:eastAsia="宋体" w:cs="Times New Roman"/>
          <w:sz w:val="20"/>
          <w:szCs w:val="20"/>
          <w:lang w:bidi="ar"/>
        </w:rPr>
      </w:pPr>
      <w:r>
        <w:rPr>
          <w:rFonts w:ascii="Times New Roman" w:hAnsi="Times New Roman" w:eastAsia="黑体" w:cs="Times New Roman"/>
          <w:kern w:val="2"/>
          <w:sz w:val="20"/>
          <w:szCs w:val="20"/>
        </w:rPr>
        <w:t>Supplementary</w:t>
      </w:r>
      <w:r>
        <w:rPr>
          <w:rFonts w:hint="eastAsia" w:ascii="Times New Roman" w:hAnsi="Times New Roman" w:eastAsia="黑体" w:cs="Times New Roman"/>
          <w:kern w:val="2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  <w:lang w:bidi="ar"/>
        </w:rPr>
        <w:t>Figure</w:t>
      </w:r>
      <w:r>
        <w:rPr>
          <w:rFonts w:hint="eastAsia" w:ascii="Times New Roman" w:hAnsi="Times New Roman" w:eastAsia="宋体" w:cs="Times New Roman"/>
          <w:sz w:val="20"/>
          <w:szCs w:val="20"/>
          <w:lang w:bidi="ar"/>
        </w:rPr>
        <w:t xml:space="preserve"> S1. Flowchart of patient selection.</w:t>
      </w:r>
    </w:p>
    <w:p w14:paraId="439E36FA">
      <w:pPr>
        <w:widowControl w:val="0"/>
        <w:spacing w:after="0"/>
        <w:jc w:val="both"/>
        <w:rPr>
          <w:rFonts w:ascii="Times New Roman" w:hAnsi="Times New Roman" w:cs="Times New Roman"/>
          <w:kern w:val="2"/>
          <w:sz w:val="15"/>
          <w:szCs w:val="15"/>
        </w:rPr>
      </w:pPr>
    </w:p>
    <w:p w14:paraId="27AFF781">
      <w:pPr>
        <w:widowControl w:val="0"/>
        <w:spacing w:after="0"/>
        <w:jc w:val="both"/>
        <w:rPr>
          <w:kern w:val="2"/>
          <w:sz w:val="21"/>
        </w:rPr>
      </w:pPr>
    </w:p>
    <w:p w14:paraId="24B6CBCF">
      <w:pPr>
        <w:widowControl w:val="0"/>
        <w:spacing w:after="0"/>
        <w:jc w:val="both"/>
        <w:rPr>
          <w:kern w:val="2"/>
          <w:sz w:val="21"/>
        </w:rPr>
      </w:pPr>
      <w:r>
        <w:rPr>
          <w:rFonts w:hint="eastAsia"/>
          <w:kern w:val="2"/>
          <w:sz w:val="21"/>
        </w:rPr>
        <w:drawing>
          <wp:inline distT="0" distB="0" distL="114300" distR="114300">
            <wp:extent cx="2870835" cy="2927985"/>
            <wp:effectExtent l="0" t="0" r="5715" b="5715"/>
            <wp:docPr id="8" name="图片 8" descr="Figure 1. Flowchart of patient sel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1. Flowchart of patient selection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0835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583AB">
      <w:pPr>
        <w:widowControl w:val="0"/>
        <w:spacing w:after="0"/>
        <w:jc w:val="both"/>
        <w:rPr>
          <w:kern w:val="2"/>
          <w:sz w:val="21"/>
        </w:rPr>
      </w:pPr>
    </w:p>
    <w:p w14:paraId="3588E4D4">
      <w:pPr>
        <w:widowControl w:val="0"/>
        <w:spacing w:after="0"/>
        <w:jc w:val="both"/>
        <w:rPr>
          <w:kern w:val="2"/>
          <w:sz w:val="21"/>
        </w:rPr>
      </w:pPr>
    </w:p>
    <w:p w14:paraId="5FBF6B36">
      <w:pPr>
        <w:widowControl w:val="0"/>
        <w:spacing w:after="0"/>
        <w:jc w:val="both"/>
        <w:rPr>
          <w:kern w:val="2"/>
          <w:sz w:val="21"/>
        </w:rPr>
      </w:pPr>
    </w:p>
    <w:p w14:paraId="4D80DA6C">
      <w:pPr>
        <w:widowControl w:val="0"/>
        <w:spacing w:after="0"/>
        <w:jc w:val="both"/>
        <w:rPr>
          <w:kern w:val="2"/>
          <w:sz w:val="21"/>
        </w:rPr>
      </w:pPr>
    </w:p>
    <w:p w14:paraId="634838F9">
      <w:pPr>
        <w:widowControl w:val="0"/>
        <w:spacing w:after="0"/>
        <w:jc w:val="both"/>
        <w:rPr>
          <w:kern w:val="2"/>
          <w:sz w:val="21"/>
        </w:rPr>
      </w:pPr>
    </w:p>
    <w:p w14:paraId="64BE9D32">
      <w:pPr>
        <w:widowControl w:val="0"/>
        <w:spacing w:after="0"/>
        <w:jc w:val="both"/>
        <w:rPr>
          <w:kern w:val="2"/>
          <w:sz w:val="21"/>
        </w:rPr>
      </w:pPr>
    </w:p>
    <w:p w14:paraId="7FA160DA">
      <w:pPr>
        <w:widowControl w:val="0"/>
        <w:spacing w:after="0"/>
        <w:jc w:val="both"/>
        <w:rPr>
          <w:kern w:val="2"/>
          <w:sz w:val="21"/>
        </w:rPr>
      </w:pPr>
    </w:p>
    <w:p w14:paraId="6D0D754B">
      <w:pPr>
        <w:widowControl w:val="0"/>
        <w:spacing w:after="0"/>
        <w:jc w:val="both"/>
        <w:rPr>
          <w:kern w:val="2"/>
          <w:sz w:val="21"/>
        </w:rPr>
      </w:pPr>
    </w:p>
    <w:p w14:paraId="38599FE1">
      <w:pPr>
        <w:widowControl w:val="0"/>
        <w:spacing w:after="0"/>
        <w:jc w:val="both"/>
        <w:rPr>
          <w:kern w:val="2"/>
          <w:sz w:val="21"/>
        </w:rPr>
      </w:pPr>
    </w:p>
    <w:p w14:paraId="6157484A">
      <w:pPr>
        <w:widowControl w:val="0"/>
        <w:spacing w:after="0"/>
        <w:jc w:val="both"/>
        <w:rPr>
          <w:kern w:val="2"/>
          <w:sz w:val="21"/>
        </w:rPr>
      </w:pPr>
    </w:p>
    <w:p w14:paraId="6C7D18A5">
      <w:pPr>
        <w:widowControl w:val="0"/>
        <w:spacing w:after="0"/>
        <w:jc w:val="both"/>
        <w:rPr>
          <w:kern w:val="2"/>
          <w:sz w:val="21"/>
        </w:rPr>
      </w:pPr>
    </w:p>
    <w:p w14:paraId="16276303">
      <w:pPr>
        <w:widowControl w:val="0"/>
        <w:spacing w:after="0"/>
        <w:jc w:val="both"/>
        <w:rPr>
          <w:kern w:val="2"/>
          <w:sz w:val="21"/>
        </w:rPr>
      </w:pPr>
    </w:p>
    <w:p w14:paraId="000E2151">
      <w:pPr>
        <w:widowControl w:val="0"/>
        <w:spacing w:after="0"/>
        <w:jc w:val="both"/>
        <w:rPr>
          <w:kern w:val="2"/>
          <w:sz w:val="21"/>
        </w:rPr>
      </w:pPr>
    </w:p>
    <w:p w14:paraId="3920CEE2">
      <w:pPr>
        <w:widowControl w:val="0"/>
        <w:spacing w:after="0"/>
        <w:jc w:val="both"/>
        <w:rPr>
          <w:kern w:val="2"/>
          <w:sz w:val="21"/>
        </w:rPr>
      </w:pPr>
    </w:p>
    <w:p w14:paraId="3AAD7F42">
      <w:pPr>
        <w:widowControl w:val="0"/>
        <w:spacing w:after="0"/>
        <w:jc w:val="both"/>
        <w:rPr>
          <w:kern w:val="2"/>
          <w:sz w:val="21"/>
        </w:rPr>
      </w:pPr>
    </w:p>
    <w:p w14:paraId="2CF7CF35">
      <w:pPr>
        <w:widowControl w:val="0"/>
        <w:spacing w:after="0"/>
        <w:jc w:val="both"/>
        <w:rPr>
          <w:kern w:val="2"/>
          <w:sz w:val="21"/>
        </w:rPr>
      </w:pPr>
    </w:p>
    <w:p w14:paraId="39D501FD">
      <w:pPr>
        <w:widowControl w:val="0"/>
        <w:spacing w:after="0"/>
        <w:jc w:val="both"/>
        <w:rPr>
          <w:kern w:val="2"/>
          <w:sz w:val="21"/>
        </w:rPr>
      </w:pPr>
    </w:p>
    <w:p w14:paraId="3BBA29AB">
      <w:pPr>
        <w:widowControl w:val="0"/>
        <w:spacing w:after="0"/>
        <w:jc w:val="both"/>
        <w:rPr>
          <w:kern w:val="2"/>
          <w:sz w:val="21"/>
        </w:rPr>
      </w:pPr>
    </w:p>
    <w:p w14:paraId="6FDD4808">
      <w:pPr>
        <w:widowControl w:val="0"/>
        <w:spacing w:after="0"/>
        <w:jc w:val="both"/>
        <w:rPr>
          <w:kern w:val="2"/>
          <w:sz w:val="21"/>
        </w:rPr>
      </w:pPr>
    </w:p>
    <w:p w14:paraId="17213C9E">
      <w:pPr>
        <w:widowControl w:val="0"/>
        <w:spacing w:after="0"/>
        <w:jc w:val="both"/>
        <w:rPr>
          <w:kern w:val="2"/>
          <w:sz w:val="21"/>
        </w:rPr>
      </w:pPr>
    </w:p>
    <w:p w14:paraId="711F277A">
      <w:pPr>
        <w:widowControl w:val="0"/>
        <w:spacing w:after="0"/>
        <w:jc w:val="both"/>
        <w:rPr>
          <w:kern w:val="2"/>
          <w:sz w:val="21"/>
        </w:rPr>
      </w:pPr>
    </w:p>
    <w:p w14:paraId="533A685C">
      <w:pPr>
        <w:widowControl w:val="0"/>
        <w:spacing w:after="0"/>
        <w:jc w:val="both"/>
        <w:rPr>
          <w:kern w:val="2"/>
          <w:sz w:val="21"/>
        </w:rPr>
      </w:pPr>
    </w:p>
    <w:p w14:paraId="02C260C6">
      <w:pPr>
        <w:widowControl w:val="0"/>
        <w:spacing w:after="0"/>
        <w:jc w:val="both"/>
        <w:rPr>
          <w:kern w:val="2"/>
          <w:sz w:val="21"/>
        </w:rPr>
      </w:pPr>
    </w:p>
    <w:p w14:paraId="76074D1D">
      <w:pPr>
        <w:widowControl w:val="0"/>
        <w:spacing w:after="0"/>
        <w:jc w:val="both"/>
        <w:rPr>
          <w:kern w:val="2"/>
          <w:sz w:val="21"/>
        </w:rPr>
      </w:pPr>
    </w:p>
    <w:p w14:paraId="112652CB">
      <w:pPr>
        <w:widowControl w:val="0"/>
        <w:spacing w:after="0"/>
        <w:jc w:val="both"/>
        <w:rPr>
          <w:kern w:val="2"/>
          <w:sz w:val="21"/>
        </w:rPr>
      </w:pPr>
    </w:p>
    <w:p w14:paraId="0642E687">
      <w:pPr>
        <w:widowControl w:val="0"/>
        <w:spacing w:after="0"/>
        <w:jc w:val="both"/>
        <w:rPr>
          <w:kern w:val="2"/>
          <w:sz w:val="21"/>
        </w:rPr>
      </w:pPr>
    </w:p>
    <w:p w14:paraId="4F928609">
      <w:pPr>
        <w:widowControl w:val="0"/>
        <w:snapToGrid w:val="0"/>
        <w:spacing w:after="0"/>
        <w:jc w:val="center"/>
        <w:rPr>
          <w:rFonts w:ascii="Times New Roman" w:hAnsi="Times New Roman" w:eastAsia="Google Sans Text" w:cs="Times New Roman"/>
          <w:bCs/>
          <w:sz w:val="18"/>
          <w:szCs w:val="18"/>
          <w:lang w:bidi="ar"/>
        </w:rPr>
      </w:pPr>
    </w:p>
    <w:p w14:paraId="432CDB90">
      <w:pPr>
        <w:widowControl w:val="0"/>
        <w:spacing w:after="0"/>
        <w:jc w:val="center"/>
        <w:rPr>
          <w:rFonts w:ascii="Times New Roman" w:hAnsi="Times New Roman" w:cs="Times New Roman"/>
          <w:kern w:val="2"/>
          <w:sz w:val="20"/>
          <w:szCs w:val="20"/>
        </w:rPr>
      </w:pPr>
    </w:p>
    <w:p w14:paraId="2AF00A6A">
      <w:pPr>
        <w:widowControl w:val="0"/>
        <w:spacing w:after="0"/>
        <w:jc w:val="center"/>
        <w:rPr>
          <w:rFonts w:ascii="Times New Roman" w:hAnsi="Times New Roman" w:cs="Times New Roman"/>
          <w:kern w:val="2"/>
          <w:sz w:val="20"/>
          <w:szCs w:val="20"/>
        </w:rPr>
      </w:pPr>
    </w:p>
    <w:p w14:paraId="55CC5BF3">
      <w:pPr>
        <w:widowControl w:val="0"/>
        <w:spacing w:after="0"/>
        <w:jc w:val="center"/>
        <w:rPr>
          <w:rFonts w:ascii="Times New Roman" w:hAnsi="Times New Roman" w:cs="Times New Roman"/>
          <w:kern w:val="2"/>
          <w:sz w:val="20"/>
          <w:szCs w:val="20"/>
        </w:rPr>
      </w:pPr>
    </w:p>
    <w:p w14:paraId="1BF05225">
      <w:pPr>
        <w:widowControl w:val="0"/>
        <w:spacing w:after="0"/>
        <w:jc w:val="center"/>
        <w:rPr>
          <w:rFonts w:ascii="Times New Roman" w:hAnsi="Times New Roman" w:cs="Times New Roman"/>
          <w:kern w:val="2"/>
          <w:sz w:val="20"/>
          <w:szCs w:val="20"/>
        </w:rPr>
      </w:pPr>
      <w:r>
        <w:rPr>
          <w:rFonts w:ascii="Times New Roman" w:hAnsi="Times New Roman" w:cs="Times New Roman"/>
          <w:kern w:val="2"/>
          <w:sz w:val="20"/>
          <w:szCs w:val="20"/>
        </w:rPr>
        <w:t>Supplementary Table S1. Sensitivity Analysis: Association between Visceral Fat Density and SMI-defined Sarcopenia</w:t>
      </w:r>
    </w:p>
    <w:p w14:paraId="6D8C1940">
      <w:pPr>
        <w:widowControl w:val="0"/>
        <w:spacing w:after="0"/>
        <w:rPr>
          <w:rFonts w:ascii="Times New Roman" w:hAnsi="Times New Roman" w:cs="Times New Roman"/>
          <w:kern w:val="2"/>
          <w:sz w:val="15"/>
          <w:szCs w:val="15"/>
        </w:rPr>
      </w:pPr>
    </w:p>
    <w:tbl>
      <w:tblPr>
        <w:tblStyle w:val="3"/>
        <w:tblW w:w="852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6"/>
        <w:gridCol w:w="2099"/>
        <w:gridCol w:w="1949"/>
        <w:gridCol w:w="938"/>
      </w:tblGrid>
      <w:tr w14:paraId="005BC4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blHeader/>
          <w:jc w:val="center"/>
        </w:trPr>
        <w:tc>
          <w:tcPr>
            <w:tcW w:w="353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32B194DA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eastAsia="Google Sans Text" w:cs="Times New Roman"/>
                <w:b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Google Sans Text" w:cs="Times New Roman"/>
                <w:b/>
                <w:sz w:val="18"/>
                <w:szCs w:val="18"/>
                <w:lang w:bidi="ar"/>
              </w:rPr>
              <w:t>Models</w:t>
            </w:r>
          </w:p>
        </w:tc>
        <w:tc>
          <w:tcPr>
            <w:tcW w:w="2099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61A8388C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eastAsia="Google Sans Text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Google Sans Text" w:cs="Times New Roman"/>
                <w:b/>
                <w:bCs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1949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0D8E4C65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eastAsia="Google Sans Text" w:cs="Times New Roman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Google Sans Text" w:cs="Times New Roman"/>
                <w:b/>
                <w:bCs/>
                <w:sz w:val="18"/>
                <w:szCs w:val="18"/>
                <w:lang w:bidi="ar"/>
              </w:rPr>
              <w:t>Odds Ratio (95% CI)</w:t>
            </w:r>
          </w:p>
        </w:tc>
        <w:tc>
          <w:tcPr>
            <w:tcW w:w="938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271589F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eastAsia="Google Sans Text" w:cs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Google Sans Text" w:cs="Times New Roman"/>
                <w:b/>
                <w:bCs/>
                <w:sz w:val="18"/>
                <w:szCs w:val="18"/>
                <w:lang w:bidi="ar"/>
              </w:rPr>
              <w:t>P-value</w:t>
            </w:r>
          </w:p>
        </w:tc>
      </w:tr>
      <w:tr w14:paraId="169B3A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6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B8178D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eastAsia="Google Sans Text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Model 1 (Crude</w:t>
            </w:r>
            <w:r>
              <w:rPr>
                <w:rFonts w:hint="eastAsia"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)</w:t>
            </w:r>
          </w:p>
        </w:tc>
        <w:tc>
          <w:tcPr>
            <w:tcW w:w="2099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106AEED">
            <w:pPr>
              <w:widowControl w:val="0"/>
              <w:snapToGrid w:val="0"/>
              <w:spacing w:after="0"/>
              <w:jc w:val="left"/>
              <w:rPr>
                <w:rFonts w:ascii="Times New Roman" w:hAnsi="Times New Roman" w:eastAsia="Google Sans Text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Visceral fat density (HU)</w:t>
            </w:r>
          </w:p>
        </w:tc>
        <w:tc>
          <w:tcPr>
            <w:tcW w:w="1949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8716688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241</w:t>
            </w: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131</w:t>
            </w: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 xml:space="preserve"> - 1.</w:t>
            </w:r>
            <w:r>
              <w:rPr>
                <w:rFonts w:hint="eastAsia"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369</w:t>
            </w: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)</w:t>
            </w:r>
          </w:p>
        </w:tc>
        <w:tc>
          <w:tcPr>
            <w:tcW w:w="938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1773E3B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&lt;0.001</w:t>
            </w:r>
          </w:p>
        </w:tc>
      </w:tr>
      <w:tr w14:paraId="10CD08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C22C46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eastAsia="Google Sans Text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Model 2 (Adjusted for eGFR)</w:t>
            </w:r>
          </w:p>
        </w:tc>
        <w:tc>
          <w:tcPr>
            <w:tcW w:w="2099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CD5D406">
            <w:pPr>
              <w:widowControl w:val="0"/>
              <w:snapToGrid w:val="0"/>
              <w:spacing w:after="0"/>
              <w:jc w:val="left"/>
              <w:rPr>
                <w:rFonts w:ascii="Times New Roman" w:hAnsi="Times New Roman" w:eastAsia="Google Sans Text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Visceral fat density (HU)</w:t>
            </w: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233C8E3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129</w:t>
            </w: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114</w:t>
            </w: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 xml:space="preserve"> - 1.</w:t>
            </w:r>
            <w:r>
              <w:rPr>
                <w:rFonts w:hint="eastAsia"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228</w:t>
            </w: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7AE9D15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&lt;0.001</w:t>
            </w:r>
          </w:p>
        </w:tc>
      </w:tr>
      <w:tr w14:paraId="588DF7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3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4D634C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eastAsia="Google Sans Text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Model 3 (Adjusted for eGFR, UACR stages)</w:t>
            </w:r>
          </w:p>
        </w:tc>
        <w:tc>
          <w:tcPr>
            <w:tcW w:w="2099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8B272A8">
            <w:pPr>
              <w:widowControl w:val="0"/>
              <w:snapToGrid w:val="0"/>
              <w:spacing w:after="0"/>
              <w:jc w:val="left"/>
              <w:rPr>
                <w:rFonts w:ascii="Times New Roman" w:hAnsi="Times New Roman" w:eastAsia="Google Sans Text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Visceral fat density (HU)</w:t>
            </w: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0E566C2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116</w:t>
            </w: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 xml:space="preserve"> (1.</w:t>
            </w:r>
            <w:r>
              <w:rPr>
                <w:rFonts w:hint="eastAsia"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097</w:t>
            </w: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 xml:space="preserve"> - 1.</w:t>
            </w:r>
            <w:r>
              <w:rPr>
                <w:rFonts w:hint="eastAsia"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135</w:t>
            </w:r>
            <w:r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)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BA3DE24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eastAsia="Google Sans Text" w:cs="Times New Roman"/>
                <w:bCs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Google Sans Text" w:cs="Times New Roman"/>
                <w:bCs/>
                <w:sz w:val="18"/>
                <w:szCs w:val="18"/>
                <w:lang w:bidi="ar"/>
              </w:rPr>
              <w:t>0.002</w:t>
            </w:r>
          </w:p>
        </w:tc>
      </w:tr>
    </w:tbl>
    <w:p w14:paraId="5965681F">
      <w:pPr>
        <w:widowControl w:val="0"/>
        <w:spacing w:after="0"/>
        <w:rPr>
          <w:rFonts w:ascii="Times New Roman" w:hAnsi="Times New Roman" w:cs="Times New Roman"/>
          <w:kern w:val="2"/>
          <w:sz w:val="15"/>
          <w:szCs w:val="15"/>
        </w:rPr>
      </w:pPr>
      <w:r>
        <w:rPr>
          <w:rFonts w:ascii="Times New Roman" w:hAnsi="Times New Roman" w:cs="Times New Roman"/>
          <w:kern w:val="2"/>
          <w:sz w:val="15"/>
          <w:szCs w:val="15"/>
        </w:rPr>
        <w:t>Notes: SMI, skeletal muscle index; CI, confidence interval; eGFR, estimated glomerular filtration rate; HU, Hounsfield units; UACR, urinary albumin-to-creatinine ratio.</w:t>
      </w:r>
    </w:p>
    <w:p w14:paraId="22584707">
      <w:pPr>
        <w:widowControl w:val="0"/>
        <w:spacing w:after="0"/>
        <w:rPr>
          <w:rFonts w:ascii="Times New Roman" w:hAnsi="Times New Roman" w:cs="Times New Roman"/>
          <w:kern w:val="2"/>
          <w:sz w:val="15"/>
          <w:szCs w:val="15"/>
        </w:rPr>
      </w:pPr>
      <w:r>
        <w:rPr>
          <w:rFonts w:ascii="Times New Roman" w:hAnsi="Times New Roman" w:cs="Times New Roman"/>
          <w:kern w:val="2"/>
          <w:sz w:val="15"/>
          <w:szCs w:val="15"/>
        </w:rPr>
        <w:t>In this sensitivity analysis, the dependent variable (sarcopenia) was re-defined according to the skeletal muscle index (SMI) at the T12 level. Binary logistic regression was performed to predict SMI-defined sarcopenia. Model 1 is an unadjusted crude model. Model 2 is adjusted for eGFR. Model 3 is further adjusted for eGFR and UACR stages (A1-A3).</w:t>
      </w:r>
    </w:p>
    <w:p w14:paraId="74FCB2E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oogle Sans Tex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067A7"/>
    <w:rsid w:val="7D00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2026-04-08T00:28:00Z</dcterms:created>
  <dc:creator>陶钧</dc:creator>
  <cp:lastModifiedBy>陶钧</cp:lastModifiedBy>
  <dcterms:modified xsi:type="dcterms:W3CDTF">2026-04-08T00:29:39Z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A9074B6B2B1843E4A52378168F1DAC14_11</vt:lpwstr>
  </property>
  <property fmtid="{D5CDD505-2E9C-101B-9397-08002B2CF9AE}" pid="4" name="KSOTemplateDocerSaveRecord">
    <vt:lpwstr>eyJoZGlkIjoiMzEwNTM5NzYwMDRjMzkwZTVkZjY2ODkwMGIxNGU0OTUiLCJ1c2VySWQiOiIzMjM2MDg0NTQifQ==</vt:lpwstr>
  </property>
</Properties>
</file>