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6B43" w:rsidRPr="000A4568" w:rsidRDefault="00786B43" w:rsidP="00786B43">
      <w:pPr>
        <w:jc w:val="center"/>
        <w:rPr>
          <w:rFonts w:ascii="Arial" w:hAnsi="Arial" w:cs="Arial"/>
          <w:b/>
          <w:sz w:val="20"/>
          <w:szCs w:val="20"/>
        </w:rPr>
      </w:pPr>
      <w:r w:rsidRPr="000A4568">
        <w:rPr>
          <w:rFonts w:ascii="Arial" w:hAnsi="Arial" w:cs="Arial"/>
          <w:b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6E9E3C97" wp14:editId="47875947">
            <wp:simplePos x="0" y="0"/>
            <wp:positionH relativeFrom="margin">
              <wp:align>left</wp:align>
            </wp:positionH>
            <wp:positionV relativeFrom="margin">
              <wp:posOffset>80665320</wp:posOffset>
            </wp:positionV>
            <wp:extent cx="3180080" cy="5200015"/>
            <wp:effectExtent l="18732" t="19368" r="20003" b="20002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icroneedle 2.jpg.ti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050" b="6866"/>
                    <a:stretch/>
                  </pic:blipFill>
                  <pic:spPr bwMode="auto">
                    <a:xfrm rot="5400000">
                      <a:off x="0" y="0"/>
                      <a:ext cx="3180080" cy="520001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A4568">
        <w:rPr>
          <w:rFonts w:ascii="Arial" w:hAnsi="Arial" w:cs="Arial"/>
          <w:b/>
          <w:sz w:val="20"/>
          <w:szCs w:val="20"/>
        </w:rPr>
        <w:t>TABLES</w:t>
      </w:r>
    </w:p>
    <w:p w:rsidR="00786B43" w:rsidRPr="000A4568" w:rsidRDefault="00786B43" w:rsidP="00786B43">
      <w:pPr>
        <w:pStyle w:val="NoSpacing"/>
        <w:jc w:val="both"/>
        <w:rPr>
          <w:rFonts w:ascii="Arial" w:hAnsi="Arial" w:cs="Arial"/>
          <w:sz w:val="20"/>
          <w:szCs w:val="20"/>
        </w:rPr>
      </w:pPr>
    </w:p>
    <w:p w:rsidR="00786B43" w:rsidRPr="000A4568" w:rsidRDefault="00786B43" w:rsidP="00786B43">
      <w:pPr>
        <w:pStyle w:val="NoSpacing"/>
        <w:jc w:val="both"/>
        <w:rPr>
          <w:rFonts w:ascii="Arial" w:hAnsi="Arial" w:cs="Arial"/>
          <w:b/>
          <w:sz w:val="20"/>
          <w:szCs w:val="20"/>
        </w:rPr>
      </w:pPr>
      <w:r w:rsidRPr="000A4568">
        <w:rPr>
          <w:rFonts w:ascii="Arial" w:hAnsi="Arial" w:cs="Arial"/>
          <w:b/>
          <w:sz w:val="20"/>
          <w:szCs w:val="20"/>
        </w:rPr>
        <w:t>Table 1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Pr="00BF6F68">
        <w:rPr>
          <w:rFonts w:ascii="Arial" w:hAnsi="Arial" w:cs="Arial"/>
          <w:bCs/>
          <w:sz w:val="20"/>
          <w:szCs w:val="20"/>
        </w:rPr>
        <w:t>Pharmacokinetic parameters after injection of naloxone to seven dogs at a dose of 0.04 mg, either intramuscularly or by hollow microneedle array.</w:t>
      </w:r>
      <w:r w:rsidRPr="000A4568">
        <w:rPr>
          <w:rFonts w:ascii="Arial" w:hAnsi="Arial" w:cs="Arial"/>
          <w:b/>
          <w:sz w:val="20"/>
          <w:szCs w:val="20"/>
        </w:rPr>
        <w:t xml:space="preserve"> </w:t>
      </w:r>
    </w:p>
    <w:p w:rsidR="00786B43" w:rsidRPr="000A4568" w:rsidRDefault="00786B43" w:rsidP="00786B43">
      <w:pPr>
        <w:pStyle w:val="NoSpacing"/>
        <w:jc w:val="both"/>
        <w:rPr>
          <w:rFonts w:ascii="Arial" w:hAnsi="Arial" w:cs="Arial"/>
          <w:sz w:val="20"/>
          <w:szCs w:val="20"/>
        </w:rPr>
      </w:pPr>
    </w:p>
    <w:tbl>
      <w:tblPr>
        <w:tblW w:w="7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5"/>
        <w:gridCol w:w="1091"/>
        <w:gridCol w:w="823"/>
        <w:gridCol w:w="1235"/>
        <w:gridCol w:w="779"/>
        <w:gridCol w:w="1165"/>
      </w:tblGrid>
      <w:tr w:rsidR="00786B43" w:rsidRPr="000A4568" w:rsidTr="00E759F0">
        <w:trPr>
          <w:trHeight w:val="255"/>
        </w:trPr>
        <w:tc>
          <w:tcPr>
            <w:tcW w:w="3183" w:type="dxa"/>
            <w:gridSpan w:val="2"/>
            <w:shd w:val="clear" w:color="auto" w:fill="auto"/>
            <w:noWrap/>
            <w:vAlign w:val="bottom"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  <w:b/>
              </w:rPr>
            </w:pPr>
          </w:p>
        </w:tc>
        <w:tc>
          <w:tcPr>
            <w:tcW w:w="2058" w:type="dxa"/>
            <w:gridSpan w:val="2"/>
            <w:shd w:val="clear" w:color="auto" w:fill="DEEAF6" w:themeFill="accent1" w:themeFillTint="33"/>
            <w:noWrap/>
            <w:vAlign w:val="bottom"/>
          </w:tcPr>
          <w:p w:rsidR="00786B43" w:rsidRPr="00FF0692" w:rsidRDefault="00786B43" w:rsidP="00E759F0">
            <w:pPr>
              <w:spacing w:after="0" w:line="240" w:lineRule="auto"/>
              <w:jc w:val="center"/>
              <w:rPr>
                <w:rFonts w:eastAsia="Times New Roman" w:cstheme="minorHAnsi"/>
                <w:b/>
              </w:rPr>
            </w:pPr>
            <w:r w:rsidRPr="00FF0692">
              <w:rPr>
                <w:rFonts w:eastAsia="Times New Roman" w:cstheme="minorHAnsi"/>
                <w:b/>
              </w:rPr>
              <w:t>Intramuscular</w:t>
            </w:r>
          </w:p>
        </w:tc>
        <w:tc>
          <w:tcPr>
            <w:tcW w:w="1944" w:type="dxa"/>
            <w:gridSpan w:val="2"/>
            <w:shd w:val="clear" w:color="auto" w:fill="DEEAF6" w:themeFill="accent1" w:themeFillTint="33"/>
            <w:noWrap/>
            <w:vAlign w:val="bottom"/>
          </w:tcPr>
          <w:p w:rsidR="00786B43" w:rsidRPr="00FF0692" w:rsidRDefault="00786B43" w:rsidP="00E759F0">
            <w:pPr>
              <w:spacing w:after="0" w:line="240" w:lineRule="auto"/>
              <w:jc w:val="center"/>
              <w:rPr>
                <w:rFonts w:eastAsia="Times New Roman" w:cstheme="minorHAnsi"/>
                <w:b/>
              </w:rPr>
            </w:pPr>
            <w:r w:rsidRPr="00FF0692">
              <w:rPr>
                <w:rFonts w:eastAsia="Times New Roman" w:cstheme="minorHAnsi"/>
                <w:b/>
              </w:rPr>
              <w:t>Microneedle</w:t>
            </w:r>
          </w:p>
        </w:tc>
      </w:tr>
      <w:tr w:rsidR="00786B43" w:rsidRPr="000A4568" w:rsidTr="00E759F0">
        <w:trPr>
          <w:trHeight w:val="255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  <w:b/>
              </w:rPr>
            </w:pPr>
            <w:r w:rsidRPr="00FF0692">
              <w:rPr>
                <w:rFonts w:eastAsia="Times New Roman" w:cstheme="minorHAnsi"/>
                <w:b/>
              </w:rPr>
              <w:t>Parameter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  <w:b/>
              </w:rPr>
            </w:pPr>
            <w:r w:rsidRPr="00FF0692">
              <w:rPr>
                <w:rFonts w:eastAsia="Times New Roman" w:cstheme="minorHAnsi"/>
                <w:b/>
              </w:rPr>
              <w:t>Units</w:t>
            </w: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  <w:b/>
              </w:rPr>
            </w:pPr>
            <w:r w:rsidRPr="00FF0692">
              <w:rPr>
                <w:rFonts w:eastAsia="Times New Roman" w:cstheme="minorHAnsi"/>
                <w:b/>
              </w:rPr>
              <w:t>Mean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  <w:b/>
              </w:rPr>
            </w:pPr>
            <w:r w:rsidRPr="00FF0692">
              <w:rPr>
                <w:rFonts w:eastAsia="Times New Roman" w:cstheme="minorHAnsi"/>
                <w:b/>
              </w:rPr>
              <w:t>Std. Dev.</w:t>
            </w:r>
          </w:p>
        </w:tc>
        <w:tc>
          <w:tcPr>
            <w:tcW w:w="779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  <w:b/>
              </w:rPr>
            </w:pPr>
            <w:r w:rsidRPr="00FF0692">
              <w:rPr>
                <w:rFonts w:eastAsia="Times New Roman" w:cstheme="minorHAnsi"/>
                <w:b/>
              </w:rPr>
              <w:t>Mean</w:t>
            </w:r>
          </w:p>
        </w:tc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  <w:b/>
              </w:rPr>
            </w:pPr>
            <w:r w:rsidRPr="00FF0692">
              <w:rPr>
                <w:rFonts w:eastAsia="Times New Roman" w:cstheme="minorHAnsi"/>
                <w:b/>
              </w:rPr>
              <w:t>Std. Dev.</w:t>
            </w:r>
          </w:p>
        </w:tc>
      </w:tr>
      <w:tr w:rsidR="00786B43" w:rsidRPr="000A4568" w:rsidTr="00E759F0">
        <w:trPr>
          <w:trHeight w:val="255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  <w:r w:rsidRPr="00FF0692">
              <w:rPr>
                <w:rFonts w:eastAsia="Times New Roman" w:cstheme="minorHAnsi"/>
              </w:rPr>
              <w:t>AUC (0 to Cn)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  <w:r w:rsidRPr="00FF0692">
              <w:rPr>
                <w:rFonts w:eastAsia="Times New Roman" w:cstheme="minorHAnsi"/>
              </w:rPr>
              <w:t>hr*ng/mL</w:t>
            </w:r>
          </w:p>
        </w:tc>
        <w:tc>
          <w:tcPr>
            <w:tcW w:w="823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27.01</w:t>
            </w:r>
          </w:p>
        </w:tc>
        <w:tc>
          <w:tcPr>
            <w:tcW w:w="1235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20.38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17.36</w:t>
            </w:r>
          </w:p>
        </w:tc>
        <w:tc>
          <w:tcPr>
            <w:tcW w:w="1165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11.65</w:t>
            </w:r>
          </w:p>
        </w:tc>
      </w:tr>
      <w:tr w:rsidR="00786B43" w:rsidRPr="000A4568" w:rsidTr="00E759F0">
        <w:trPr>
          <w:trHeight w:val="255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  <w:r w:rsidRPr="00FF0692">
              <w:rPr>
                <w:rFonts w:eastAsia="Times New Roman" w:cstheme="minorHAnsi"/>
              </w:rPr>
              <w:t>AUC (0 to infinity)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  <w:r w:rsidRPr="00FF0692">
              <w:rPr>
                <w:rFonts w:eastAsia="Times New Roman" w:cstheme="minorHAnsi"/>
              </w:rPr>
              <w:t>hr*ng/mL</w:t>
            </w:r>
          </w:p>
        </w:tc>
        <w:tc>
          <w:tcPr>
            <w:tcW w:w="823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32.11</w:t>
            </w:r>
          </w:p>
        </w:tc>
        <w:tc>
          <w:tcPr>
            <w:tcW w:w="1235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27.07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17.76</w:t>
            </w:r>
          </w:p>
        </w:tc>
        <w:tc>
          <w:tcPr>
            <w:tcW w:w="1165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11.70</w:t>
            </w:r>
          </w:p>
        </w:tc>
      </w:tr>
      <w:tr w:rsidR="00786B43" w:rsidRPr="000A4568" w:rsidTr="00E759F0">
        <w:trPr>
          <w:trHeight w:val="255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  <w:r w:rsidRPr="00FF0692">
              <w:rPr>
                <w:rFonts w:eastAsia="Times New Roman" w:cstheme="minorHAnsi"/>
              </w:rPr>
              <w:t>C</w:t>
            </w:r>
            <w:r w:rsidRPr="00FF0692">
              <w:rPr>
                <w:rFonts w:eastAsia="Times New Roman" w:cstheme="minorHAnsi"/>
                <w:vertAlign w:val="subscript"/>
              </w:rPr>
              <w:t>MAX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  <w:r w:rsidRPr="00FF0692">
              <w:rPr>
                <w:rFonts w:eastAsia="Times New Roman" w:cstheme="minorHAnsi"/>
              </w:rPr>
              <w:t>ng/mL</w:t>
            </w:r>
          </w:p>
        </w:tc>
        <w:tc>
          <w:tcPr>
            <w:tcW w:w="823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23.19</w:t>
            </w:r>
          </w:p>
        </w:tc>
        <w:tc>
          <w:tcPr>
            <w:tcW w:w="1235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6.37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48.33</w:t>
            </w:r>
          </w:p>
        </w:tc>
        <w:tc>
          <w:tcPr>
            <w:tcW w:w="1165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51.66</w:t>
            </w:r>
          </w:p>
        </w:tc>
      </w:tr>
      <w:tr w:rsidR="00786B43" w:rsidRPr="000A4568" w:rsidTr="00E759F0">
        <w:trPr>
          <w:trHeight w:val="255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  <w:r w:rsidRPr="00FF0692">
              <w:rPr>
                <w:rFonts w:eastAsia="Times New Roman" w:cstheme="minorHAnsi"/>
              </w:rPr>
              <w:t>Half-life</w:t>
            </w:r>
            <w:r>
              <w:rPr>
                <w:rFonts w:eastAsia="Times New Roman" w:cstheme="minorHAnsi"/>
              </w:rPr>
              <w:t xml:space="preserve"> (t½ )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  <w:r w:rsidRPr="00FF0692">
              <w:rPr>
                <w:rFonts w:eastAsia="Times New Roman" w:cstheme="minorHAnsi"/>
              </w:rPr>
              <w:t>hr</w:t>
            </w:r>
          </w:p>
        </w:tc>
        <w:tc>
          <w:tcPr>
            <w:tcW w:w="823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1.20</w:t>
            </w:r>
          </w:p>
        </w:tc>
        <w:tc>
          <w:tcPr>
            <w:tcW w:w="1235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0.86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0.46</w:t>
            </w:r>
          </w:p>
        </w:tc>
        <w:tc>
          <w:tcPr>
            <w:tcW w:w="1165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0.05</w:t>
            </w:r>
          </w:p>
        </w:tc>
      </w:tr>
      <w:tr w:rsidR="00786B43" w:rsidRPr="000A4568" w:rsidTr="00E759F0">
        <w:trPr>
          <w:trHeight w:val="255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  <w:r w:rsidRPr="00FF0692">
              <w:rPr>
                <w:rFonts w:eastAsia="Times New Roman" w:cstheme="minorHAnsi"/>
              </w:rPr>
              <w:t>Terminal rate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  <w:r w:rsidRPr="00FF0692">
              <w:rPr>
                <w:rFonts w:eastAsia="Times New Roman" w:cstheme="minorHAnsi"/>
              </w:rPr>
              <w:t>1/hr</w:t>
            </w:r>
          </w:p>
        </w:tc>
        <w:tc>
          <w:tcPr>
            <w:tcW w:w="823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0.95</w:t>
            </w:r>
          </w:p>
        </w:tc>
        <w:tc>
          <w:tcPr>
            <w:tcW w:w="1235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0.72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1.54</w:t>
            </w:r>
          </w:p>
        </w:tc>
        <w:tc>
          <w:tcPr>
            <w:tcW w:w="1165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0.20</w:t>
            </w:r>
          </w:p>
        </w:tc>
      </w:tr>
      <w:tr w:rsidR="00786B43" w:rsidRPr="000A4568" w:rsidTr="00E759F0">
        <w:trPr>
          <w:trHeight w:val="255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  <w:r w:rsidRPr="00FF0692">
              <w:rPr>
                <w:rFonts w:eastAsia="Times New Roman" w:cstheme="minorHAnsi"/>
              </w:rPr>
              <w:t>MRT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  <w:r w:rsidRPr="00FF0692">
              <w:rPr>
                <w:rFonts w:eastAsia="Times New Roman" w:cstheme="minorHAnsi"/>
              </w:rPr>
              <w:t>hr</w:t>
            </w:r>
          </w:p>
        </w:tc>
        <w:tc>
          <w:tcPr>
            <w:tcW w:w="823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1.61</w:t>
            </w:r>
          </w:p>
        </w:tc>
        <w:tc>
          <w:tcPr>
            <w:tcW w:w="1235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1.26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0.61</w:t>
            </w:r>
          </w:p>
        </w:tc>
        <w:tc>
          <w:tcPr>
            <w:tcW w:w="1165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0.20</w:t>
            </w:r>
          </w:p>
        </w:tc>
      </w:tr>
      <w:tr w:rsidR="00786B43" w:rsidRPr="000A4568" w:rsidTr="00E759F0">
        <w:trPr>
          <w:trHeight w:val="255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  <w:r w:rsidRPr="00FF0692">
              <w:rPr>
                <w:rFonts w:eastAsia="Times New Roman" w:cstheme="minorHAnsi"/>
              </w:rPr>
              <w:t>T</w:t>
            </w:r>
            <w:r w:rsidRPr="00FF0692">
              <w:rPr>
                <w:rFonts w:eastAsia="Times New Roman" w:cstheme="minorHAnsi"/>
                <w:vertAlign w:val="subscript"/>
              </w:rPr>
              <w:t>MAX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  <w:r w:rsidRPr="00FF0692">
              <w:rPr>
                <w:rFonts w:eastAsia="Times New Roman" w:cstheme="minorHAnsi"/>
              </w:rPr>
              <w:t>hr</w:t>
            </w:r>
          </w:p>
        </w:tc>
        <w:tc>
          <w:tcPr>
            <w:tcW w:w="823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0.17</w:t>
            </w:r>
          </w:p>
        </w:tc>
        <w:tc>
          <w:tcPr>
            <w:tcW w:w="1235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0.07</w:t>
            </w:r>
          </w:p>
        </w:tc>
        <w:tc>
          <w:tcPr>
            <w:tcW w:w="779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0.18</w:t>
            </w:r>
          </w:p>
        </w:tc>
        <w:tc>
          <w:tcPr>
            <w:tcW w:w="1165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0.08</w:t>
            </w:r>
          </w:p>
        </w:tc>
      </w:tr>
      <w:tr w:rsidR="00786B43" w:rsidRPr="000A4568" w:rsidTr="00E759F0">
        <w:trPr>
          <w:trHeight w:val="255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  <w:r w:rsidRPr="00FF0692">
              <w:rPr>
                <w:rFonts w:eastAsia="Times New Roman" w:cstheme="minorHAnsi"/>
              </w:rPr>
              <w:t>Fraction C</w:t>
            </w:r>
            <w:r w:rsidRPr="00FF0692">
              <w:rPr>
                <w:rFonts w:eastAsia="Times New Roman" w:cstheme="minorHAnsi"/>
                <w:vertAlign w:val="subscript"/>
              </w:rPr>
              <w:t>MAX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779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2.15</w:t>
            </w:r>
          </w:p>
        </w:tc>
        <w:tc>
          <w:tcPr>
            <w:tcW w:w="1165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2.12</w:t>
            </w:r>
          </w:p>
        </w:tc>
      </w:tr>
      <w:tr w:rsidR="00786B43" w:rsidRPr="000A4568" w:rsidTr="00E759F0">
        <w:trPr>
          <w:trHeight w:val="255"/>
        </w:trPr>
        <w:tc>
          <w:tcPr>
            <w:tcW w:w="2155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  <w:r w:rsidRPr="00FF0692">
              <w:rPr>
                <w:rFonts w:eastAsia="Times New Roman" w:cstheme="minorHAnsi"/>
              </w:rPr>
              <w:t>Fraction AUC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823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:rsidR="00786B43" w:rsidRPr="00FF0692" w:rsidRDefault="00786B43" w:rsidP="00E759F0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779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0.85</w:t>
            </w:r>
          </w:p>
        </w:tc>
        <w:tc>
          <w:tcPr>
            <w:tcW w:w="1165" w:type="dxa"/>
            <w:shd w:val="clear" w:color="auto" w:fill="auto"/>
            <w:noWrap/>
            <w:hideMark/>
          </w:tcPr>
          <w:p w:rsidR="00786B43" w:rsidRPr="00FF0692" w:rsidRDefault="00786B43" w:rsidP="00E759F0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  <w:r w:rsidRPr="00FF0692">
              <w:rPr>
                <w:rFonts w:cstheme="minorHAnsi"/>
              </w:rPr>
              <w:t>0.84</w:t>
            </w:r>
          </w:p>
        </w:tc>
      </w:tr>
    </w:tbl>
    <w:p w:rsidR="00786B43" w:rsidRDefault="00786B43" w:rsidP="00786B43">
      <w:pPr>
        <w:rPr>
          <w:rFonts w:ascii="Arial" w:hAnsi="Arial" w:cs="Arial"/>
          <w:sz w:val="20"/>
          <w:szCs w:val="20"/>
        </w:rPr>
      </w:pPr>
    </w:p>
    <w:p w:rsidR="00786B43" w:rsidRPr="003A7AAC" w:rsidRDefault="00786B43" w:rsidP="003A7AA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Legend:  </w:t>
      </w:r>
      <w:r>
        <w:rPr>
          <w:rFonts w:ascii="Arial" w:hAnsi="Arial" w:cs="Arial"/>
          <w:sz w:val="20"/>
          <w:szCs w:val="20"/>
        </w:rPr>
        <w:t>AUC (0 to Cn), area under the curve from time 0 to the last measured time point (Cn); AUC (0 to infinity), the area under the curve from time 0 to infinity; C</w:t>
      </w:r>
      <w:r w:rsidRPr="00B27208">
        <w:rPr>
          <w:rFonts w:ascii="Arial" w:hAnsi="Arial" w:cs="Arial"/>
          <w:sz w:val="20"/>
          <w:szCs w:val="20"/>
          <w:vertAlign w:val="subscript"/>
        </w:rPr>
        <w:t>MAX</w:t>
      </w:r>
      <w:r>
        <w:rPr>
          <w:rFonts w:ascii="Arial" w:hAnsi="Arial" w:cs="Arial"/>
          <w:sz w:val="20"/>
          <w:szCs w:val="20"/>
        </w:rPr>
        <w:t>, maximum (peak) plasma concentration; half-life (t½) terminal half-life; MRT, mean residence time; T</w:t>
      </w:r>
      <w:r w:rsidRPr="00B27208">
        <w:rPr>
          <w:rFonts w:ascii="Arial" w:hAnsi="Arial" w:cs="Arial"/>
          <w:sz w:val="20"/>
          <w:szCs w:val="20"/>
          <w:vertAlign w:val="subscript"/>
        </w:rPr>
        <w:t>MAX</w:t>
      </w:r>
      <w:r>
        <w:rPr>
          <w:rFonts w:ascii="Arial" w:hAnsi="Arial" w:cs="Arial"/>
          <w:sz w:val="20"/>
          <w:szCs w:val="20"/>
        </w:rPr>
        <w:t>, time to peak (C</w:t>
      </w:r>
      <w:r w:rsidRPr="00B27208">
        <w:rPr>
          <w:rFonts w:ascii="Arial" w:hAnsi="Arial" w:cs="Arial"/>
          <w:sz w:val="20"/>
          <w:szCs w:val="20"/>
          <w:vertAlign w:val="subscript"/>
        </w:rPr>
        <w:t>MAX</w:t>
      </w:r>
      <w:r>
        <w:rPr>
          <w:rFonts w:ascii="Arial" w:hAnsi="Arial" w:cs="Arial"/>
          <w:sz w:val="20"/>
          <w:szCs w:val="20"/>
        </w:rPr>
        <w:t>) concentration; Fraction C</w:t>
      </w:r>
      <w:r w:rsidRPr="00B27208">
        <w:rPr>
          <w:rFonts w:ascii="Arial" w:hAnsi="Arial" w:cs="Arial"/>
          <w:sz w:val="20"/>
          <w:szCs w:val="20"/>
          <w:vertAlign w:val="subscript"/>
        </w:rPr>
        <w:t>MAX</w:t>
      </w:r>
      <w:r>
        <w:rPr>
          <w:rFonts w:ascii="Arial" w:hAnsi="Arial" w:cs="Arial"/>
          <w:sz w:val="20"/>
          <w:szCs w:val="20"/>
        </w:rPr>
        <w:t>, the ratio of microneedle C</w:t>
      </w:r>
      <w:r w:rsidRPr="00B27208">
        <w:rPr>
          <w:rFonts w:ascii="Arial" w:hAnsi="Arial" w:cs="Arial"/>
          <w:sz w:val="20"/>
          <w:szCs w:val="20"/>
          <w:vertAlign w:val="subscript"/>
        </w:rPr>
        <w:t>MAX</w:t>
      </w:r>
      <w:r>
        <w:rPr>
          <w:rFonts w:ascii="Arial" w:hAnsi="Arial" w:cs="Arial"/>
          <w:sz w:val="20"/>
          <w:szCs w:val="20"/>
        </w:rPr>
        <w:t xml:space="preserve"> concentration to intramuscular C</w:t>
      </w:r>
      <w:r w:rsidRPr="00B27208">
        <w:rPr>
          <w:rFonts w:ascii="Arial" w:hAnsi="Arial" w:cs="Arial"/>
          <w:sz w:val="20"/>
          <w:szCs w:val="20"/>
          <w:vertAlign w:val="subscript"/>
        </w:rPr>
        <w:t>MAX</w:t>
      </w:r>
      <w:r>
        <w:rPr>
          <w:rFonts w:ascii="Arial" w:hAnsi="Arial" w:cs="Arial"/>
          <w:sz w:val="20"/>
          <w:szCs w:val="20"/>
        </w:rPr>
        <w:t xml:space="preserve"> concentration; Fraction AUC, the the ratio of microneedle AUC to intramuscular AUC concentration.</w:t>
      </w:r>
      <w:bookmarkStart w:id="0" w:name="_GoBack"/>
      <w:bookmarkEnd w:id="0"/>
    </w:p>
    <w:sectPr w:rsidR="00786B43" w:rsidRPr="003A7A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B43"/>
    <w:rsid w:val="003A7AAC"/>
    <w:rsid w:val="00786B43"/>
    <w:rsid w:val="00E33223"/>
    <w:rsid w:val="00ED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4D7A4"/>
  <w15:chartTrackingRefBased/>
  <w15:docId w15:val="{7B7135B9-35A7-499E-865E-2030843D4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6B4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786B43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786B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Carolina State University</Company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G. Papich</dc:creator>
  <cp:keywords/>
  <dc:description/>
  <cp:lastModifiedBy>Amol Betale</cp:lastModifiedBy>
  <cp:revision>2</cp:revision>
  <dcterms:created xsi:type="dcterms:W3CDTF">2021-09-30T09:20:00Z</dcterms:created>
  <dcterms:modified xsi:type="dcterms:W3CDTF">2021-09-30T09:20:00Z</dcterms:modified>
</cp:coreProperties>
</file>