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A183" w14:textId="6D0D02B3" w:rsidR="00994886" w:rsidRPr="00186F31" w:rsidRDefault="00994886" w:rsidP="00994886">
      <w:pPr>
        <w:pStyle w:val="Heading2"/>
        <w:spacing w:before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0" w:name="_Toc46415114"/>
      <w:bookmarkStart w:id="1" w:name="_Toc46415115"/>
      <w:r w:rsidRPr="00186F3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Annex-1: Adaptation of FMDV in </w:t>
      </w:r>
      <w:r w:rsidRPr="00186F31">
        <w:rPr>
          <w:rStyle w:val="fontstyle01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Baby Hamster Kidney</w:t>
      </w:r>
      <w:r w:rsidRPr="00186F3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-21 Cell Culture</w:t>
      </w:r>
      <w:bookmarkEnd w:id="0"/>
      <w:r w:rsidRPr="00186F3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78D826A8" w14:textId="77777777" w:rsidR="00994886" w:rsidRPr="00186F31" w:rsidRDefault="00994886" w:rsidP="00994886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360" w:lineRule="auto"/>
        <w:ind w:left="360" w:right="0"/>
        <w:contextualSpacing/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186F31">
        <w:rPr>
          <w:rStyle w:val="fontstyle01"/>
          <w:rFonts w:asciiTheme="minorHAnsi" w:hAnsiTheme="minorHAnsi" w:cstheme="minorHAnsi"/>
          <w:sz w:val="22"/>
          <w:szCs w:val="22"/>
        </w:rPr>
        <w:t xml:space="preserve">The cells those formed confluent monolayers in the culture flask within 24 </w:t>
      </w:r>
      <w:proofErr w:type="spellStart"/>
      <w:r w:rsidRPr="00186F31">
        <w:rPr>
          <w:rStyle w:val="fontstyle01"/>
          <w:rFonts w:asciiTheme="minorHAnsi" w:hAnsiTheme="minorHAnsi" w:cstheme="minorHAnsi"/>
          <w:sz w:val="22"/>
          <w:szCs w:val="22"/>
        </w:rPr>
        <w:t>hr</w:t>
      </w:r>
      <w:proofErr w:type="spellEnd"/>
      <w:r w:rsidRPr="00186F31">
        <w:rPr>
          <w:rStyle w:val="fontstyle01"/>
          <w:rFonts w:asciiTheme="minorHAnsi" w:hAnsiTheme="minorHAnsi" w:cstheme="minorHAnsi"/>
          <w:sz w:val="22"/>
          <w:szCs w:val="22"/>
        </w:rPr>
        <w:t xml:space="preserve"> of incubation were selected for infection with viruses. </w:t>
      </w:r>
    </w:p>
    <w:p w14:paraId="174FF5D7" w14:textId="77777777" w:rsidR="00994886" w:rsidRPr="00186F31" w:rsidRDefault="00994886" w:rsidP="00994886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360" w:lineRule="auto"/>
        <w:ind w:left="360" w:right="0"/>
        <w:contextualSpacing/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186F31">
        <w:rPr>
          <w:rStyle w:val="fontstyle01"/>
          <w:rFonts w:asciiTheme="minorHAnsi" w:hAnsiTheme="minorHAnsi" w:cstheme="minorHAnsi"/>
          <w:sz w:val="22"/>
          <w:szCs w:val="22"/>
        </w:rPr>
        <w:t xml:space="preserve">The growth media from the flask containing BHK-21 cell was removed and then the monolayer cells were washed with 1X sterile PBS for 2 times. </w:t>
      </w:r>
    </w:p>
    <w:p w14:paraId="719707DA" w14:textId="77777777" w:rsidR="00994886" w:rsidRPr="00186F31" w:rsidRDefault="00994886" w:rsidP="00994886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360" w:lineRule="auto"/>
        <w:ind w:left="360" w:right="0"/>
        <w:contextualSpacing/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186F31">
        <w:rPr>
          <w:rStyle w:val="fontstyle01"/>
          <w:rFonts w:asciiTheme="minorHAnsi" w:hAnsiTheme="minorHAnsi" w:cstheme="minorHAnsi"/>
          <w:sz w:val="22"/>
          <w:szCs w:val="22"/>
        </w:rPr>
        <w:t xml:space="preserve">One milliliter (1mL) of virus inoculum was added to the 25 cm2 polystyrene TPP® tissue culture flasks (Sigma-Aldrich, Europe). The inoculum was spread over the monolayer cell by tilting for about 45-60 min for the establishment of better interaction. </w:t>
      </w:r>
    </w:p>
    <w:p w14:paraId="4A1532BA" w14:textId="77777777" w:rsidR="00994886" w:rsidRPr="00186F31" w:rsidRDefault="00994886" w:rsidP="00994886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360" w:lineRule="auto"/>
        <w:ind w:left="360" w:right="0"/>
        <w:contextualSpacing/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186F31">
        <w:rPr>
          <w:rStyle w:val="fontstyle01"/>
          <w:rFonts w:asciiTheme="minorHAnsi" w:hAnsiTheme="minorHAnsi" w:cstheme="minorHAnsi"/>
          <w:sz w:val="22"/>
          <w:szCs w:val="22"/>
        </w:rPr>
        <w:t xml:space="preserve">Add 6-8 mL maintenance media was added in flask and the vessel was returned to the incubator at 37°C for 1–2 days. </w:t>
      </w:r>
    </w:p>
    <w:p w14:paraId="2A47DF37" w14:textId="77777777" w:rsidR="00994886" w:rsidRPr="00186F31" w:rsidRDefault="00994886" w:rsidP="00994886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360" w:lineRule="auto"/>
        <w:ind w:left="360" w:right="0"/>
        <w:contextualSpacing/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186F31">
        <w:rPr>
          <w:rStyle w:val="fontstyle01"/>
          <w:rFonts w:asciiTheme="minorHAnsi" w:hAnsiTheme="minorHAnsi" w:cstheme="minorHAnsi"/>
          <w:sz w:val="22"/>
          <w:szCs w:val="22"/>
        </w:rPr>
        <w:t>Virus added flask was allowed to incubate at 37°C for 1-2 days. The cells were examined twice daily under inverted microscope until showing characteristic cytopathic effect (CPE).</w:t>
      </w:r>
    </w:p>
    <w:p w14:paraId="224B0C10" w14:textId="77777777" w:rsidR="00994886" w:rsidRPr="00186F31" w:rsidRDefault="00994886" w:rsidP="00994886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360" w:lineRule="auto"/>
        <w:ind w:left="360" w:right="0"/>
        <w:contextualSpacing/>
        <w:jc w:val="both"/>
        <w:rPr>
          <w:rFonts w:asciiTheme="minorHAnsi" w:hAnsiTheme="minorHAnsi" w:cstheme="minorHAnsi"/>
        </w:rPr>
      </w:pPr>
      <w:r w:rsidRPr="00186F31">
        <w:rPr>
          <w:rStyle w:val="fontstyle01"/>
          <w:rFonts w:asciiTheme="minorHAnsi" w:hAnsiTheme="minorHAnsi" w:cstheme="minorHAnsi"/>
          <w:sz w:val="22"/>
          <w:szCs w:val="22"/>
        </w:rPr>
        <w:t xml:space="preserve"> A control monolayer cell also was maintained. After completion of CPE, infected cell culture bottle along with control cell monolayer were stored at –20°C. The cell culture supernatant was harvested by repeated freezing and thawing for 3 to 4 times.</w:t>
      </w:r>
    </w:p>
    <w:p w14:paraId="67D9450D" w14:textId="0DBFCAE0" w:rsidR="00335DD7" w:rsidRPr="00186F31" w:rsidRDefault="00335DD7" w:rsidP="00335DD7">
      <w:pPr>
        <w:pStyle w:val="BodyTex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86F31">
        <w:rPr>
          <w:rFonts w:asciiTheme="minorHAnsi" w:hAnsiTheme="minorHAnsi" w:cstheme="minorHAnsi"/>
          <w:b/>
          <w:bCs/>
          <w:sz w:val="22"/>
          <w:szCs w:val="22"/>
        </w:rPr>
        <w:t>Annexe</w:t>
      </w:r>
      <w:r w:rsidR="00994886" w:rsidRPr="00186F31">
        <w:rPr>
          <w:rFonts w:asciiTheme="minorHAnsi" w:hAnsiTheme="minorHAnsi" w:cstheme="minorHAnsi"/>
          <w:b/>
          <w:bCs/>
          <w:sz w:val="22"/>
          <w:szCs w:val="22"/>
        </w:rPr>
        <w:t>-2</w:t>
      </w:r>
      <w:r w:rsidRPr="00186F31">
        <w:rPr>
          <w:rFonts w:asciiTheme="minorHAnsi" w:hAnsiTheme="minorHAnsi" w:cstheme="minorHAnsi"/>
          <w:b/>
          <w:bCs/>
          <w:sz w:val="22"/>
          <w:szCs w:val="22"/>
        </w:rPr>
        <w:t>: FMDV Seed Strain Titration</w:t>
      </w:r>
      <w:bookmarkEnd w:id="1"/>
    </w:p>
    <w:p w14:paraId="153AE3C9" w14:textId="354AD720" w:rsidR="00335DD7" w:rsidRPr="00186F31" w:rsidRDefault="00335DD7" w:rsidP="00335DD7">
      <w:pPr>
        <w:spacing w:line="360" w:lineRule="auto"/>
        <w:rPr>
          <w:rFonts w:asciiTheme="minorHAnsi" w:hAnsiTheme="minorHAnsi" w:cstheme="minorHAnsi"/>
        </w:rPr>
      </w:pPr>
      <w:r w:rsidRPr="00186F31">
        <w:rPr>
          <w:rFonts w:asciiTheme="minorHAnsi" w:hAnsiTheme="minorHAnsi" w:cstheme="minorHAnsi"/>
        </w:rPr>
        <w:t>Foot and mouth disease virus vaccine strains were titrated after being adapted on</w:t>
      </w:r>
      <w:r w:rsidR="00994886" w:rsidRPr="00186F31">
        <w:rPr>
          <w:rFonts w:asciiTheme="minorHAnsi" w:hAnsiTheme="minorHAnsi" w:cstheme="minorHAnsi"/>
        </w:rPr>
        <w:t xml:space="preserve"> </w:t>
      </w:r>
      <w:r w:rsidRPr="00186F31">
        <w:rPr>
          <w:rFonts w:asciiTheme="minorHAnsi" w:hAnsiTheme="minorHAnsi" w:cstheme="minorHAnsi"/>
        </w:rPr>
        <w:t>monolayer BHK-21 cell culture and showed 100% CPE in 24 hours.</w:t>
      </w:r>
    </w:p>
    <w:p w14:paraId="0F414441" w14:textId="77777777" w:rsidR="00335DD7" w:rsidRPr="00186F31" w:rsidRDefault="00335DD7" w:rsidP="00335DD7">
      <w:pPr>
        <w:pStyle w:val="ListParagraph"/>
        <w:widowControl/>
        <w:numPr>
          <w:ilvl w:val="0"/>
          <w:numId w:val="11"/>
        </w:numPr>
        <w:autoSpaceDE/>
        <w:autoSpaceDN/>
        <w:spacing w:before="0" w:line="360" w:lineRule="auto"/>
        <w:ind w:left="360" w:right="0"/>
        <w:contextualSpacing/>
        <w:rPr>
          <w:rFonts w:asciiTheme="minorHAnsi" w:hAnsiTheme="minorHAnsi" w:cstheme="minorHAnsi"/>
        </w:rPr>
      </w:pPr>
      <w:r w:rsidRPr="00186F31">
        <w:rPr>
          <w:rFonts w:asciiTheme="minorHAnsi" w:hAnsiTheme="minorHAnsi" w:cstheme="minorHAnsi"/>
        </w:rPr>
        <w:t xml:space="preserve">  Serial dilute in tenfold dilution beginning with 10</w:t>
      </w:r>
      <w:r w:rsidRPr="00186F31">
        <w:rPr>
          <w:rFonts w:asciiTheme="minorHAnsi" w:hAnsiTheme="minorHAnsi" w:cstheme="minorHAnsi"/>
          <w:vertAlign w:val="superscript"/>
        </w:rPr>
        <w:t>-1</w:t>
      </w:r>
      <w:r w:rsidRPr="00186F31">
        <w:rPr>
          <w:rFonts w:asciiTheme="minorHAnsi" w:hAnsiTheme="minorHAnsi" w:cstheme="minorHAnsi"/>
        </w:rPr>
        <w:t xml:space="preserve"> by adding l00µl of the virus suspension to 900µl of the diluents minimum essential base medium (MEM).</w:t>
      </w:r>
    </w:p>
    <w:p w14:paraId="55E427DC" w14:textId="16044415" w:rsidR="00335DD7" w:rsidRPr="00186F31" w:rsidRDefault="00335DD7" w:rsidP="00335DD7">
      <w:pPr>
        <w:pStyle w:val="ListParagraph"/>
        <w:widowControl/>
        <w:numPr>
          <w:ilvl w:val="0"/>
          <w:numId w:val="11"/>
        </w:numPr>
        <w:autoSpaceDE/>
        <w:autoSpaceDN/>
        <w:spacing w:before="0" w:line="360" w:lineRule="auto"/>
        <w:ind w:left="360" w:right="0"/>
        <w:contextualSpacing/>
        <w:rPr>
          <w:rFonts w:asciiTheme="minorHAnsi" w:hAnsiTheme="minorHAnsi" w:cstheme="minorHAnsi"/>
        </w:rPr>
      </w:pPr>
      <w:r w:rsidRPr="00186F31">
        <w:rPr>
          <w:rFonts w:asciiTheme="minorHAnsi" w:hAnsiTheme="minorHAnsi" w:cstheme="minorHAnsi"/>
        </w:rPr>
        <w:t xml:space="preserve"> Using a sterile pipette tip, l00µl from the first dilution was taken and transferred to the next tube after </w:t>
      </w:r>
      <w:proofErr w:type="spellStart"/>
      <w:r w:rsidRPr="00186F31">
        <w:rPr>
          <w:rFonts w:asciiTheme="minorHAnsi" w:hAnsiTheme="minorHAnsi" w:cstheme="minorHAnsi"/>
        </w:rPr>
        <w:t>vortexing</w:t>
      </w:r>
      <w:proofErr w:type="spellEnd"/>
      <w:r w:rsidRPr="00186F31">
        <w:rPr>
          <w:rFonts w:asciiTheme="minorHAnsi" w:hAnsiTheme="minorHAnsi" w:cstheme="minorHAnsi"/>
        </w:rPr>
        <w:t xml:space="preserve"> and continued serially to the end using different sterile pipette tips at each transfer. </w:t>
      </w:r>
    </w:p>
    <w:p w14:paraId="2CDA103E" w14:textId="77777777" w:rsidR="00335DD7" w:rsidRPr="00186F31" w:rsidRDefault="00335DD7" w:rsidP="00335DD7">
      <w:pPr>
        <w:pStyle w:val="ListParagraph"/>
        <w:widowControl/>
        <w:numPr>
          <w:ilvl w:val="0"/>
          <w:numId w:val="11"/>
        </w:numPr>
        <w:autoSpaceDE/>
        <w:autoSpaceDN/>
        <w:spacing w:before="0" w:line="360" w:lineRule="auto"/>
        <w:ind w:left="360" w:right="0"/>
        <w:contextualSpacing/>
        <w:rPr>
          <w:rFonts w:asciiTheme="minorHAnsi" w:hAnsiTheme="minorHAnsi" w:cstheme="minorHAnsi"/>
        </w:rPr>
      </w:pPr>
      <w:r w:rsidRPr="00186F31">
        <w:rPr>
          <w:rFonts w:asciiTheme="minorHAnsi" w:hAnsiTheme="minorHAnsi" w:cstheme="minorHAnsi"/>
        </w:rPr>
        <w:t>l00µl of each virus dilution (10</w:t>
      </w:r>
      <w:r w:rsidRPr="00186F31">
        <w:rPr>
          <w:rFonts w:asciiTheme="minorHAnsi" w:hAnsiTheme="minorHAnsi" w:cstheme="minorHAnsi"/>
          <w:vertAlign w:val="superscript"/>
        </w:rPr>
        <w:t>-1</w:t>
      </w:r>
      <w:r w:rsidRPr="00186F31">
        <w:rPr>
          <w:rFonts w:asciiTheme="minorHAnsi" w:hAnsiTheme="minorHAnsi" w:cstheme="minorHAnsi"/>
        </w:rPr>
        <w:t xml:space="preserve"> to 10</w:t>
      </w:r>
      <w:r w:rsidRPr="00186F31">
        <w:rPr>
          <w:rFonts w:asciiTheme="minorHAnsi" w:hAnsiTheme="minorHAnsi" w:cstheme="minorHAnsi"/>
          <w:vertAlign w:val="superscript"/>
        </w:rPr>
        <w:t>-12</w:t>
      </w:r>
      <w:r w:rsidRPr="00186F31">
        <w:rPr>
          <w:rFonts w:asciiTheme="minorHAnsi" w:hAnsiTheme="minorHAnsi" w:cstheme="minorHAnsi"/>
        </w:rPr>
        <w:t>) was distributed in the wells of respective rows on microtiter plates containing established monolayer’s cell of BHK- 21 100 µl containing 10</w:t>
      </w:r>
      <w:r w:rsidRPr="00186F31">
        <w:rPr>
          <w:rFonts w:asciiTheme="minorHAnsi" w:hAnsiTheme="minorHAnsi" w:cstheme="minorHAnsi"/>
          <w:vertAlign w:val="superscript"/>
        </w:rPr>
        <w:t>6</w:t>
      </w:r>
      <w:r w:rsidRPr="00186F31">
        <w:rPr>
          <w:rFonts w:asciiTheme="minorHAnsi" w:hAnsiTheme="minorHAnsi" w:cstheme="minorHAnsi"/>
        </w:rPr>
        <w:t xml:space="preserve"> </w:t>
      </w:r>
      <w:proofErr w:type="gramStart"/>
      <w:r w:rsidRPr="00186F31">
        <w:rPr>
          <w:rFonts w:asciiTheme="minorHAnsi" w:hAnsiTheme="minorHAnsi" w:cstheme="minorHAnsi"/>
        </w:rPr>
        <w:t>cell</w:t>
      </w:r>
      <w:proofErr w:type="gramEnd"/>
      <w:r w:rsidRPr="00186F31">
        <w:rPr>
          <w:rFonts w:asciiTheme="minorHAnsi" w:hAnsiTheme="minorHAnsi" w:cstheme="minorHAnsi"/>
        </w:rPr>
        <w:t xml:space="preserve"> per each well. </w:t>
      </w:r>
    </w:p>
    <w:p w14:paraId="44ADF4E3" w14:textId="77777777" w:rsidR="00335DD7" w:rsidRPr="00186F31" w:rsidRDefault="00335DD7" w:rsidP="00335DD7">
      <w:pPr>
        <w:pStyle w:val="ListParagraph"/>
        <w:widowControl/>
        <w:numPr>
          <w:ilvl w:val="0"/>
          <w:numId w:val="11"/>
        </w:numPr>
        <w:autoSpaceDE/>
        <w:autoSpaceDN/>
        <w:spacing w:before="0" w:line="360" w:lineRule="auto"/>
        <w:ind w:left="360" w:right="0"/>
        <w:contextualSpacing/>
        <w:rPr>
          <w:rFonts w:asciiTheme="minorHAnsi" w:hAnsiTheme="minorHAnsi" w:cstheme="minorHAnsi"/>
        </w:rPr>
      </w:pPr>
      <w:r w:rsidRPr="00186F31">
        <w:rPr>
          <w:rFonts w:asciiTheme="minorHAnsi" w:hAnsiTheme="minorHAnsi" w:cstheme="minorHAnsi"/>
        </w:rPr>
        <w:t xml:space="preserve">Then 100 </w:t>
      </w:r>
      <w:proofErr w:type="spellStart"/>
      <w:r w:rsidRPr="00186F31">
        <w:rPr>
          <w:rFonts w:asciiTheme="minorHAnsi" w:hAnsiTheme="minorHAnsi" w:cstheme="minorHAnsi"/>
        </w:rPr>
        <w:t>μl</w:t>
      </w:r>
      <w:proofErr w:type="spellEnd"/>
      <w:r w:rsidRPr="00186F31">
        <w:rPr>
          <w:rFonts w:asciiTheme="minorHAnsi" w:hAnsiTheme="minorHAnsi" w:cstheme="minorHAnsi"/>
        </w:rPr>
        <w:t xml:space="preserve">/well of MEM base medium was added and incubated at 37° C for 48 h and the titer of each virus was determined by the use of Reed and </w:t>
      </w:r>
      <w:proofErr w:type="spellStart"/>
      <w:r w:rsidRPr="00186F31">
        <w:rPr>
          <w:rFonts w:asciiTheme="minorHAnsi" w:hAnsiTheme="minorHAnsi" w:cstheme="minorHAnsi"/>
        </w:rPr>
        <w:t>muench</w:t>
      </w:r>
      <w:proofErr w:type="spellEnd"/>
      <w:r w:rsidRPr="00186F31">
        <w:rPr>
          <w:rFonts w:asciiTheme="minorHAnsi" w:hAnsiTheme="minorHAnsi" w:cstheme="minorHAnsi"/>
        </w:rPr>
        <w:t xml:space="preserve"> formula.</w:t>
      </w:r>
    </w:p>
    <w:p w14:paraId="5621F821" w14:textId="77777777" w:rsidR="00335DD7" w:rsidRPr="00186F31" w:rsidRDefault="00335DD7" w:rsidP="00335DD7">
      <w:pPr>
        <w:spacing w:line="360" w:lineRule="auto"/>
        <w:rPr>
          <w:rFonts w:asciiTheme="minorHAnsi" w:hAnsiTheme="minorHAnsi" w:cstheme="minorHAnsi"/>
        </w:rPr>
      </w:pPr>
    </w:p>
    <w:p w14:paraId="7038DAD5" w14:textId="5307A2A1" w:rsidR="00335DD7" w:rsidRPr="00186F31" w:rsidRDefault="00335DD7" w:rsidP="00335DD7">
      <w:pPr>
        <w:spacing w:line="360" w:lineRule="auto"/>
        <w:rPr>
          <w:rFonts w:asciiTheme="minorHAnsi" w:hAnsiTheme="minorHAnsi" w:cstheme="minorHAnsi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</w:rPr>
            <w:lastRenderedPageBreak/>
            <m:t>index</m:t>
          </m:r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% infected at dilution immediately above 50%</m:t>
                  </m:r>
                </m:e>
              </m:d>
              <m:r>
                <w:rPr>
                  <w:rFonts w:ascii="Cambria Math" w:hAnsi="Cambria Math" w:cstheme="minorHAnsi"/>
                </w:rPr>
                <m:t xml:space="preserve">- 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50%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% infected at dilution immediately above 50%</m:t>
                  </m:r>
                  <m:ctrlPr>
                    <w:rPr>
                      <w:rFonts w:ascii="Cambria Math" w:hAnsi="Cambria Math" w:cstheme="minorHAnsi"/>
                      <w:i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-(% infected at dilution immediately below 50%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100%-50%</m:t>
                  </m:r>
                </m:e>
              </m:d>
            </m:num>
            <m:den>
              <m:r>
                <w:rPr>
                  <w:rFonts w:ascii="Cambria Math" w:hAnsi="Cambria Math" w:cstheme="minorHAnsi"/>
                </w:rPr>
                <m:t>100%-33%</m:t>
              </m:r>
            </m:den>
          </m:f>
          <m:r>
            <w:rPr>
              <w:rFonts w:ascii="Cambria Math" w:hAnsi="Cambria Math" w:cstheme="minorHAnsi"/>
            </w:rPr>
            <m:t>=0.74</m:t>
          </m:r>
        </m:oMath>
      </m:oMathPara>
    </w:p>
    <w:p w14:paraId="50301D35" w14:textId="77777777" w:rsidR="00335DD7" w:rsidRPr="00186F31" w:rsidRDefault="00335DD7" w:rsidP="00227C44">
      <w:pPr>
        <w:spacing w:line="360" w:lineRule="auto"/>
        <w:jc w:val="both"/>
        <w:rPr>
          <w:rFonts w:asciiTheme="minorHAnsi" w:hAnsiTheme="minorHAnsi" w:cstheme="minorHAnsi"/>
        </w:rPr>
      </w:pPr>
      <w:r w:rsidRPr="00186F31">
        <w:rPr>
          <w:rFonts w:asciiTheme="minorHAnsi" w:hAnsiTheme="minorHAnsi" w:cstheme="minorHAnsi"/>
        </w:rPr>
        <w:t xml:space="preserve">Applying the index calculated using this formula </w:t>
      </w:r>
      <w:proofErr w:type="spellStart"/>
      <w:r w:rsidRPr="00186F31">
        <w:rPr>
          <w:rFonts w:asciiTheme="minorHAnsi" w:hAnsiTheme="minorHAnsi" w:cstheme="minorHAnsi"/>
        </w:rPr>
        <w:t>t</w:t>
      </w:r>
      <w:proofErr w:type="spellEnd"/>
      <w:r w:rsidRPr="00186F31">
        <w:rPr>
          <w:rFonts w:asciiTheme="minorHAnsi" w:hAnsiTheme="minorHAnsi" w:cstheme="minorHAnsi"/>
        </w:rPr>
        <w:t xml:space="preserve"> the dilution that produces the infection rate immediately above 50 = 10</w:t>
      </w:r>
      <w:r w:rsidRPr="00186F31">
        <w:rPr>
          <w:rFonts w:asciiTheme="minorHAnsi" w:hAnsiTheme="minorHAnsi" w:cstheme="minorHAnsi"/>
          <w:vertAlign w:val="superscript"/>
        </w:rPr>
        <w:t>3.74</w:t>
      </w:r>
    </w:p>
    <w:p w14:paraId="60DD4F98" w14:textId="77777777" w:rsidR="00335DD7" w:rsidRPr="00186F31" w:rsidRDefault="00335DD7" w:rsidP="00227C44">
      <w:pPr>
        <w:spacing w:line="360" w:lineRule="auto"/>
        <w:jc w:val="both"/>
        <w:rPr>
          <w:rFonts w:asciiTheme="minorHAnsi" w:hAnsiTheme="minorHAnsi" w:cstheme="minorHAnsi"/>
        </w:rPr>
      </w:pPr>
      <w:r w:rsidRPr="00186F31">
        <w:rPr>
          <w:rFonts w:asciiTheme="minorHAnsi" w:hAnsiTheme="minorHAnsi" w:cstheme="minorHAnsi"/>
        </w:rPr>
        <w:t>This dilution of the virus suspension contained 100TCID50 unit of virus in 0.1ml.</w:t>
      </w:r>
    </w:p>
    <w:p w14:paraId="25437627" w14:textId="77777777" w:rsidR="00335DD7" w:rsidRPr="00186F31" w:rsidRDefault="00335DD7" w:rsidP="00335DD7">
      <w:pPr>
        <w:spacing w:line="360" w:lineRule="auto"/>
        <w:rPr>
          <w:rFonts w:asciiTheme="minorHAnsi" w:hAnsiTheme="minorHAnsi" w:cstheme="minorHAnsi"/>
        </w:rPr>
      </w:pPr>
      <w:r w:rsidRPr="00186F31">
        <w:rPr>
          <w:rFonts w:asciiTheme="minorHAnsi" w:hAnsiTheme="minorHAnsi" w:cstheme="minorHAnsi"/>
        </w:rPr>
        <w:t>1ml of the virus suspension will contain ten times the reciprocal of the calculation dilution.</w:t>
      </w:r>
    </w:p>
    <w:p w14:paraId="28187A48" w14:textId="7F147456" w:rsidR="00335DD7" w:rsidRPr="00186F31" w:rsidRDefault="00227C44" w:rsidP="00335DD7">
      <w:pPr>
        <w:spacing w:line="360" w:lineRule="auto"/>
        <w:rPr>
          <w:rFonts w:asciiTheme="minorHAnsi" w:hAnsiTheme="minorHAnsi" w:cstheme="minorHAnsi"/>
        </w:rPr>
      </w:pPr>
      <w:r w:rsidRPr="00186F31">
        <w:rPr>
          <w:rFonts w:asciiTheme="minorHAnsi" w:hAnsiTheme="minorHAnsi" w:cstheme="minorHAnsi"/>
        </w:rPr>
        <w:t>Therefore,</w:t>
      </w:r>
      <w:r w:rsidR="00335DD7" w:rsidRPr="00186F31">
        <w:rPr>
          <w:rFonts w:asciiTheme="minorHAnsi" w:hAnsiTheme="minorHAnsi" w:cstheme="minorHAnsi"/>
        </w:rPr>
        <w:t xml:space="preserve"> infectivity titer of the virus suspension inTCID50/ml = 10*10</w:t>
      </w:r>
      <w:r w:rsidR="00335DD7" w:rsidRPr="00186F31">
        <w:rPr>
          <w:rFonts w:asciiTheme="minorHAnsi" w:hAnsiTheme="minorHAnsi" w:cstheme="minorHAnsi"/>
          <w:vertAlign w:val="superscript"/>
        </w:rPr>
        <w:t xml:space="preserve">3.74 </w:t>
      </w:r>
      <w:proofErr w:type="gramStart"/>
      <w:r w:rsidR="00335DD7" w:rsidRPr="00186F31">
        <w:rPr>
          <w:rFonts w:asciiTheme="minorHAnsi" w:hAnsiTheme="minorHAnsi" w:cstheme="minorHAnsi"/>
        </w:rPr>
        <w:t>=</w:t>
      </w:r>
      <w:r w:rsidR="00335DD7" w:rsidRPr="00186F31">
        <w:rPr>
          <w:rFonts w:asciiTheme="minorHAnsi" w:hAnsiTheme="minorHAnsi" w:cstheme="minorHAnsi"/>
          <w:vertAlign w:val="superscript"/>
        </w:rPr>
        <w:t xml:space="preserve">  </w:t>
      </w:r>
      <w:r w:rsidR="00335DD7" w:rsidRPr="00186F31">
        <w:rPr>
          <w:rFonts w:asciiTheme="minorHAnsi" w:hAnsiTheme="minorHAnsi" w:cstheme="minorHAnsi"/>
        </w:rPr>
        <w:t>10</w:t>
      </w:r>
      <w:r w:rsidR="00335DD7" w:rsidRPr="00186F31">
        <w:rPr>
          <w:rFonts w:asciiTheme="minorHAnsi" w:hAnsiTheme="minorHAnsi" w:cstheme="minorHAnsi"/>
          <w:vertAlign w:val="superscript"/>
        </w:rPr>
        <w:t>4</w:t>
      </w:r>
      <w:proofErr w:type="gramEnd"/>
      <w:r w:rsidR="00335DD7" w:rsidRPr="00186F31">
        <w:rPr>
          <w:rFonts w:asciiTheme="minorHAnsi" w:hAnsiTheme="minorHAnsi" w:cstheme="minorHAnsi"/>
          <w:vertAlign w:val="superscript"/>
        </w:rPr>
        <w:t>.74</w:t>
      </w:r>
      <w:r w:rsidR="00335DD7" w:rsidRPr="00186F31">
        <w:rPr>
          <w:rFonts w:asciiTheme="minorHAnsi" w:hAnsiTheme="minorHAnsi" w:cstheme="minorHAnsi"/>
        </w:rPr>
        <w:t>TCID50/ml the result was similar for the three serotypes.</w:t>
      </w:r>
    </w:p>
    <w:p w14:paraId="3A240D31" w14:textId="77777777" w:rsidR="00335DD7" w:rsidRPr="00186F31" w:rsidRDefault="00335DD7" w:rsidP="00335DD7">
      <w:pPr>
        <w:pStyle w:val="BodyTex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F9540C" w14:textId="77777777" w:rsidR="00227C44" w:rsidRPr="00186F31" w:rsidRDefault="00227C44" w:rsidP="00304126">
      <w:pPr>
        <w:pStyle w:val="BodyText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E0C597" w14:textId="77777777" w:rsidR="00227C44" w:rsidRPr="00186F31" w:rsidRDefault="00227C44" w:rsidP="00304126">
      <w:pPr>
        <w:pStyle w:val="BodyText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0EEF93" w14:textId="77777777" w:rsidR="00227C44" w:rsidRPr="00186F31" w:rsidRDefault="00227C44" w:rsidP="00304126">
      <w:pPr>
        <w:pStyle w:val="BodyText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9391D8" w14:textId="77777777" w:rsidR="00227C44" w:rsidRPr="00186F31" w:rsidRDefault="00227C44" w:rsidP="00304126">
      <w:pPr>
        <w:pStyle w:val="BodyText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5EF751" w14:textId="77777777" w:rsidR="00227C44" w:rsidRPr="00186F31" w:rsidRDefault="00227C44" w:rsidP="00304126">
      <w:pPr>
        <w:pStyle w:val="BodyText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7A1905" w14:textId="77777777" w:rsidR="00B62330" w:rsidRPr="00186F31" w:rsidRDefault="00B62330" w:rsidP="00304126">
      <w:pPr>
        <w:pStyle w:val="BodyText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F23BD5" w14:textId="77777777" w:rsidR="00B62330" w:rsidRPr="00186F31" w:rsidRDefault="00B62330" w:rsidP="00304126">
      <w:pPr>
        <w:pStyle w:val="BodyText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BD955C" w14:textId="77777777" w:rsidR="00B62330" w:rsidRDefault="00B62330" w:rsidP="00304126">
      <w:pPr>
        <w:pStyle w:val="BodyText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9A5A19" w14:textId="77777777" w:rsidR="0059050E" w:rsidRDefault="0059050E" w:rsidP="00304126">
      <w:pPr>
        <w:pStyle w:val="BodyText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978CF5" w14:textId="77777777" w:rsidR="0059050E" w:rsidRDefault="0059050E" w:rsidP="00304126">
      <w:pPr>
        <w:pStyle w:val="BodyText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811C50" w14:textId="77777777" w:rsidR="003C683D" w:rsidRDefault="003C683D" w:rsidP="00304126">
      <w:pPr>
        <w:pStyle w:val="BodyText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6C2777" w14:textId="77777777" w:rsidR="003C683D" w:rsidRDefault="003C683D" w:rsidP="00304126">
      <w:pPr>
        <w:pStyle w:val="BodyText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C683D" w:rsidSect="00E70B80">
      <w:headerReference w:type="default" r:id="rId8"/>
      <w:type w:val="continuous"/>
      <w:pgSz w:w="11910" w:h="15880"/>
      <w:pgMar w:top="1440" w:right="1440" w:bottom="1440" w:left="1440" w:header="655" w:footer="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57AA" w14:textId="77777777" w:rsidR="00F55386" w:rsidRDefault="00F55386">
      <w:r>
        <w:separator/>
      </w:r>
    </w:p>
  </w:endnote>
  <w:endnote w:type="continuationSeparator" w:id="0">
    <w:p w14:paraId="460781D1" w14:textId="77777777" w:rsidR="00F55386" w:rsidRDefault="00F5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BB3D" w14:textId="77777777" w:rsidR="00F55386" w:rsidRDefault="00F55386">
      <w:r>
        <w:separator/>
      </w:r>
    </w:p>
  </w:footnote>
  <w:footnote w:type="continuationSeparator" w:id="0">
    <w:p w14:paraId="574496A4" w14:textId="77777777" w:rsidR="00F55386" w:rsidRDefault="00F55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B4DE" w14:textId="6AF14AA1" w:rsidR="00174D2F" w:rsidRDefault="00174D2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2A81"/>
    <w:multiLevelType w:val="hybridMultilevel"/>
    <w:tmpl w:val="5F4655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B5EFE"/>
    <w:multiLevelType w:val="hybridMultilevel"/>
    <w:tmpl w:val="0B1691A2"/>
    <w:lvl w:ilvl="0" w:tplc="65D61C0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07CE4"/>
    <w:multiLevelType w:val="hybridMultilevel"/>
    <w:tmpl w:val="37D2EB78"/>
    <w:lvl w:ilvl="0" w:tplc="D50CCD5E">
      <w:start w:val="1"/>
      <w:numFmt w:val="bullet"/>
      <w:lvlText w:val="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BD5B2C"/>
    <w:multiLevelType w:val="hybridMultilevel"/>
    <w:tmpl w:val="C0400B3A"/>
    <w:lvl w:ilvl="0" w:tplc="EB1AC870">
      <w:numFmt w:val="bullet"/>
      <w:lvlText w:val="•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sz w:val="19"/>
        <w:szCs w:val="19"/>
        <w:lang w:val="en-US" w:eastAsia="en-US" w:bidi="ar-SA"/>
      </w:rPr>
    </w:lvl>
    <w:lvl w:ilvl="1" w:tplc="FDAA312C">
      <w:numFmt w:val="bullet"/>
      <w:lvlText w:val="•"/>
      <w:lvlJc w:val="left"/>
      <w:pPr>
        <w:ind w:left="670" w:hanging="240"/>
      </w:pPr>
      <w:rPr>
        <w:rFonts w:hint="default"/>
        <w:lang w:val="en-US" w:eastAsia="en-US" w:bidi="ar-SA"/>
      </w:rPr>
    </w:lvl>
    <w:lvl w:ilvl="2" w:tplc="F0E4F4EC">
      <w:numFmt w:val="bullet"/>
      <w:lvlText w:val="•"/>
      <w:lvlJc w:val="left"/>
      <w:pPr>
        <w:ind w:left="1102" w:hanging="240"/>
      </w:pPr>
      <w:rPr>
        <w:rFonts w:hint="default"/>
        <w:lang w:val="en-US" w:eastAsia="en-US" w:bidi="ar-SA"/>
      </w:rPr>
    </w:lvl>
    <w:lvl w:ilvl="3" w:tplc="98407CAC">
      <w:numFmt w:val="bullet"/>
      <w:lvlText w:val="•"/>
      <w:lvlJc w:val="left"/>
      <w:pPr>
        <w:ind w:left="1534" w:hanging="240"/>
      </w:pPr>
      <w:rPr>
        <w:rFonts w:hint="default"/>
        <w:lang w:val="en-US" w:eastAsia="en-US" w:bidi="ar-SA"/>
      </w:rPr>
    </w:lvl>
    <w:lvl w:ilvl="4" w:tplc="75940DE0">
      <w:numFmt w:val="bullet"/>
      <w:lvlText w:val="•"/>
      <w:lvlJc w:val="left"/>
      <w:pPr>
        <w:ind w:left="1966" w:hanging="240"/>
      </w:pPr>
      <w:rPr>
        <w:rFonts w:hint="default"/>
        <w:lang w:val="en-US" w:eastAsia="en-US" w:bidi="ar-SA"/>
      </w:rPr>
    </w:lvl>
    <w:lvl w:ilvl="5" w:tplc="A35A4FBE">
      <w:numFmt w:val="bullet"/>
      <w:lvlText w:val="•"/>
      <w:lvlJc w:val="left"/>
      <w:pPr>
        <w:ind w:left="2398" w:hanging="240"/>
      </w:pPr>
      <w:rPr>
        <w:rFonts w:hint="default"/>
        <w:lang w:val="en-US" w:eastAsia="en-US" w:bidi="ar-SA"/>
      </w:rPr>
    </w:lvl>
    <w:lvl w:ilvl="6" w:tplc="7D1610F2">
      <w:numFmt w:val="bullet"/>
      <w:lvlText w:val="•"/>
      <w:lvlJc w:val="left"/>
      <w:pPr>
        <w:ind w:left="2830" w:hanging="240"/>
      </w:pPr>
      <w:rPr>
        <w:rFonts w:hint="default"/>
        <w:lang w:val="en-US" w:eastAsia="en-US" w:bidi="ar-SA"/>
      </w:rPr>
    </w:lvl>
    <w:lvl w:ilvl="7" w:tplc="94ECB63A">
      <w:numFmt w:val="bullet"/>
      <w:lvlText w:val="•"/>
      <w:lvlJc w:val="left"/>
      <w:pPr>
        <w:ind w:left="3262" w:hanging="240"/>
      </w:pPr>
      <w:rPr>
        <w:rFonts w:hint="default"/>
        <w:lang w:val="en-US" w:eastAsia="en-US" w:bidi="ar-SA"/>
      </w:rPr>
    </w:lvl>
    <w:lvl w:ilvl="8" w:tplc="5386B4E4">
      <w:numFmt w:val="bullet"/>
      <w:lvlText w:val="•"/>
      <w:lvlJc w:val="left"/>
      <w:pPr>
        <w:ind w:left="3694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3E283C14"/>
    <w:multiLevelType w:val="hybridMultilevel"/>
    <w:tmpl w:val="277E8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86037"/>
    <w:multiLevelType w:val="hybridMultilevel"/>
    <w:tmpl w:val="E6AA9F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A6837"/>
    <w:multiLevelType w:val="hybridMultilevel"/>
    <w:tmpl w:val="9EC2F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DB787A"/>
    <w:multiLevelType w:val="hybridMultilevel"/>
    <w:tmpl w:val="061CC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325C7"/>
    <w:multiLevelType w:val="hybridMultilevel"/>
    <w:tmpl w:val="0B90D350"/>
    <w:lvl w:ilvl="0" w:tplc="1E063BD6">
      <w:start w:val="1"/>
      <w:numFmt w:val="upperLetter"/>
      <w:lvlText w:val="%1."/>
      <w:lvlJc w:val="left"/>
      <w:pPr>
        <w:ind w:left="117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59A37C8B"/>
    <w:multiLevelType w:val="hybridMultilevel"/>
    <w:tmpl w:val="5FCC7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534A5"/>
    <w:multiLevelType w:val="hybridMultilevel"/>
    <w:tmpl w:val="40FEDC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5A6B"/>
    <w:multiLevelType w:val="hybridMultilevel"/>
    <w:tmpl w:val="C4DCDF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70BDA"/>
    <w:multiLevelType w:val="hybridMultilevel"/>
    <w:tmpl w:val="3DD8DE78"/>
    <w:lvl w:ilvl="0" w:tplc="55EA4382">
      <w:start w:val="1"/>
      <w:numFmt w:val="decimal"/>
      <w:lvlText w:val="%1."/>
      <w:lvlJc w:val="left"/>
      <w:pPr>
        <w:ind w:left="441" w:hanging="30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0"/>
        <w:sz w:val="15"/>
        <w:szCs w:val="15"/>
        <w:lang w:val="en-US" w:eastAsia="en-US" w:bidi="ar-SA"/>
      </w:rPr>
    </w:lvl>
    <w:lvl w:ilvl="1" w:tplc="63B47292">
      <w:numFmt w:val="bullet"/>
      <w:lvlText w:val="•"/>
      <w:lvlJc w:val="left"/>
      <w:pPr>
        <w:ind w:left="892" w:hanging="300"/>
      </w:pPr>
      <w:rPr>
        <w:rFonts w:hint="default"/>
        <w:lang w:val="en-US" w:eastAsia="en-US" w:bidi="ar-SA"/>
      </w:rPr>
    </w:lvl>
    <w:lvl w:ilvl="2" w:tplc="BD607CB2">
      <w:numFmt w:val="bullet"/>
      <w:lvlText w:val="•"/>
      <w:lvlJc w:val="left"/>
      <w:pPr>
        <w:ind w:left="1344" w:hanging="300"/>
      </w:pPr>
      <w:rPr>
        <w:rFonts w:hint="default"/>
        <w:lang w:val="en-US" w:eastAsia="en-US" w:bidi="ar-SA"/>
      </w:rPr>
    </w:lvl>
    <w:lvl w:ilvl="3" w:tplc="27C4F9D2">
      <w:numFmt w:val="bullet"/>
      <w:lvlText w:val="•"/>
      <w:lvlJc w:val="left"/>
      <w:pPr>
        <w:ind w:left="1796" w:hanging="300"/>
      </w:pPr>
      <w:rPr>
        <w:rFonts w:hint="default"/>
        <w:lang w:val="en-US" w:eastAsia="en-US" w:bidi="ar-SA"/>
      </w:rPr>
    </w:lvl>
    <w:lvl w:ilvl="4" w:tplc="7668E0F2">
      <w:numFmt w:val="bullet"/>
      <w:lvlText w:val="•"/>
      <w:lvlJc w:val="left"/>
      <w:pPr>
        <w:ind w:left="2248" w:hanging="300"/>
      </w:pPr>
      <w:rPr>
        <w:rFonts w:hint="default"/>
        <w:lang w:val="en-US" w:eastAsia="en-US" w:bidi="ar-SA"/>
      </w:rPr>
    </w:lvl>
    <w:lvl w:ilvl="5" w:tplc="3F809574">
      <w:numFmt w:val="bullet"/>
      <w:lvlText w:val="•"/>
      <w:lvlJc w:val="left"/>
      <w:pPr>
        <w:ind w:left="2700" w:hanging="300"/>
      </w:pPr>
      <w:rPr>
        <w:rFonts w:hint="default"/>
        <w:lang w:val="en-US" w:eastAsia="en-US" w:bidi="ar-SA"/>
      </w:rPr>
    </w:lvl>
    <w:lvl w:ilvl="6" w:tplc="1D942B30">
      <w:numFmt w:val="bullet"/>
      <w:lvlText w:val="•"/>
      <w:lvlJc w:val="left"/>
      <w:pPr>
        <w:ind w:left="3152" w:hanging="300"/>
      </w:pPr>
      <w:rPr>
        <w:rFonts w:hint="default"/>
        <w:lang w:val="en-US" w:eastAsia="en-US" w:bidi="ar-SA"/>
      </w:rPr>
    </w:lvl>
    <w:lvl w:ilvl="7" w:tplc="49E65F60">
      <w:numFmt w:val="bullet"/>
      <w:lvlText w:val="•"/>
      <w:lvlJc w:val="left"/>
      <w:pPr>
        <w:ind w:left="3604" w:hanging="300"/>
      </w:pPr>
      <w:rPr>
        <w:rFonts w:hint="default"/>
        <w:lang w:val="en-US" w:eastAsia="en-US" w:bidi="ar-SA"/>
      </w:rPr>
    </w:lvl>
    <w:lvl w:ilvl="8" w:tplc="3E84BCB8">
      <w:numFmt w:val="bullet"/>
      <w:lvlText w:val="•"/>
      <w:lvlJc w:val="left"/>
      <w:pPr>
        <w:ind w:left="4056" w:hanging="300"/>
      </w:pPr>
      <w:rPr>
        <w:rFonts w:hint="default"/>
        <w:lang w:val="en-US" w:eastAsia="en-US" w:bidi="ar-SA"/>
      </w:rPr>
    </w:lvl>
  </w:abstractNum>
  <w:abstractNum w:abstractNumId="13" w15:restartNumberingAfterBreak="0">
    <w:nsid w:val="75896285"/>
    <w:multiLevelType w:val="hybridMultilevel"/>
    <w:tmpl w:val="C75E0BC0"/>
    <w:lvl w:ilvl="0" w:tplc="32CA0092">
      <w:numFmt w:val="bullet"/>
      <w:lvlText w:val="•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sz w:val="19"/>
        <w:szCs w:val="19"/>
        <w:lang w:val="en-US" w:eastAsia="en-US" w:bidi="ar-SA"/>
      </w:rPr>
    </w:lvl>
    <w:lvl w:ilvl="1" w:tplc="38B042B6">
      <w:numFmt w:val="bullet"/>
      <w:lvlText w:val="•"/>
      <w:lvlJc w:val="left"/>
      <w:pPr>
        <w:ind w:left="670" w:hanging="240"/>
      </w:pPr>
      <w:rPr>
        <w:rFonts w:hint="default"/>
        <w:lang w:val="en-US" w:eastAsia="en-US" w:bidi="ar-SA"/>
      </w:rPr>
    </w:lvl>
    <w:lvl w:ilvl="2" w:tplc="C58E556C">
      <w:numFmt w:val="bullet"/>
      <w:lvlText w:val="•"/>
      <w:lvlJc w:val="left"/>
      <w:pPr>
        <w:ind w:left="1102" w:hanging="240"/>
      </w:pPr>
      <w:rPr>
        <w:rFonts w:hint="default"/>
        <w:lang w:val="en-US" w:eastAsia="en-US" w:bidi="ar-SA"/>
      </w:rPr>
    </w:lvl>
    <w:lvl w:ilvl="3" w:tplc="960E0940">
      <w:numFmt w:val="bullet"/>
      <w:lvlText w:val="•"/>
      <w:lvlJc w:val="left"/>
      <w:pPr>
        <w:ind w:left="1534" w:hanging="240"/>
      </w:pPr>
      <w:rPr>
        <w:rFonts w:hint="default"/>
        <w:lang w:val="en-US" w:eastAsia="en-US" w:bidi="ar-SA"/>
      </w:rPr>
    </w:lvl>
    <w:lvl w:ilvl="4" w:tplc="354CEDDC">
      <w:numFmt w:val="bullet"/>
      <w:lvlText w:val="•"/>
      <w:lvlJc w:val="left"/>
      <w:pPr>
        <w:ind w:left="1966" w:hanging="240"/>
      </w:pPr>
      <w:rPr>
        <w:rFonts w:hint="default"/>
        <w:lang w:val="en-US" w:eastAsia="en-US" w:bidi="ar-SA"/>
      </w:rPr>
    </w:lvl>
    <w:lvl w:ilvl="5" w:tplc="D17C3B38">
      <w:numFmt w:val="bullet"/>
      <w:lvlText w:val="•"/>
      <w:lvlJc w:val="left"/>
      <w:pPr>
        <w:ind w:left="2398" w:hanging="240"/>
      </w:pPr>
      <w:rPr>
        <w:rFonts w:hint="default"/>
        <w:lang w:val="en-US" w:eastAsia="en-US" w:bidi="ar-SA"/>
      </w:rPr>
    </w:lvl>
    <w:lvl w:ilvl="6" w:tplc="3772843C">
      <w:numFmt w:val="bullet"/>
      <w:lvlText w:val="•"/>
      <w:lvlJc w:val="left"/>
      <w:pPr>
        <w:ind w:left="2830" w:hanging="240"/>
      </w:pPr>
      <w:rPr>
        <w:rFonts w:hint="default"/>
        <w:lang w:val="en-US" w:eastAsia="en-US" w:bidi="ar-SA"/>
      </w:rPr>
    </w:lvl>
    <w:lvl w:ilvl="7" w:tplc="964A05CA">
      <w:numFmt w:val="bullet"/>
      <w:lvlText w:val="•"/>
      <w:lvlJc w:val="left"/>
      <w:pPr>
        <w:ind w:left="3262" w:hanging="240"/>
      </w:pPr>
      <w:rPr>
        <w:rFonts w:hint="default"/>
        <w:lang w:val="en-US" w:eastAsia="en-US" w:bidi="ar-SA"/>
      </w:rPr>
    </w:lvl>
    <w:lvl w:ilvl="8" w:tplc="7A9AD63E">
      <w:numFmt w:val="bullet"/>
      <w:lvlText w:val="•"/>
      <w:lvlJc w:val="left"/>
      <w:pPr>
        <w:ind w:left="3694" w:hanging="240"/>
      </w:pPr>
      <w:rPr>
        <w:rFonts w:hint="default"/>
        <w:lang w:val="en-US" w:eastAsia="en-US" w:bidi="ar-SA"/>
      </w:rPr>
    </w:lvl>
  </w:abstractNum>
  <w:num w:numId="1" w16cid:durableId="803280619">
    <w:abstractNumId w:val="12"/>
  </w:num>
  <w:num w:numId="2" w16cid:durableId="1400207762">
    <w:abstractNumId w:val="13"/>
  </w:num>
  <w:num w:numId="3" w16cid:durableId="1928074727">
    <w:abstractNumId w:val="3"/>
  </w:num>
  <w:num w:numId="4" w16cid:durableId="217399824">
    <w:abstractNumId w:val="2"/>
  </w:num>
  <w:num w:numId="5" w16cid:durableId="983463650">
    <w:abstractNumId w:val="4"/>
  </w:num>
  <w:num w:numId="6" w16cid:durableId="253899793">
    <w:abstractNumId w:val="10"/>
  </w:num>
  <w:num w:numId="7" w16cid:durableId="795831398">
    <w:abstractNumId w:val="1"/>
  </w:num>
  <w:num w:numId="8" w16cid:durableId="1791703406">
    <w:abstractNumId w:val="7"/>
  </w:num>
  <w:num w:numId="9" w16cid:durableId="1218853881">
    <w:abstractNumId w:val="5"/>
  </w:num>
  <w:num w:numId="10" w16cid:durableId="1677728476">
    <w:abstractNumId w:val="0"/>
  </w:num>
  <w:num w:numId="11" w16cid:durableId="387802863">
    <w:abstractNumId w:val="9"/>
  </w:num>
  <w:num w:numId="12" w16cid:durableId="267274810">
    <w:abstractNumId w:val="8"/>
  </w:num>
  <w:num w:numId="13" w16cid:durableId="1728067347">
    <w:abstractNumId w:val="11"/>
  </w:num>
  <w:num w:numId="14" w16cid:durableId="1157187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0f2s0r5defax6e9vz2ptd99tzes2f005rdv&quot;&gt;My EndNote Library&lt;record-ids&gt;&lt;item&gt;108&lt;/item&gt;&lt;item&gt;111&lt;/item&gt;&lt;item&gt;112&lt;/item&gt;&lt;/record-ids&gt;&lt;/item&gt;&lt;/Libraries&gt;"/>
  </w:docVars>
  <w:rsids>
    <w:rsidRoot w:val="00174D2F"/>
    <w:rsid w:val="00006705"/>
    <w:rsid w:val="00011B2D"/>
    <w:rsid w:val="000340C8"/>
    <w:rsid w:val="00034E63"/>
    <w:rsid w:val="000354B2"/>
    <w:rsid w:val="00036ABF"/>
    <w:rsid w:val="000470C9"/>
    <w:rsid w:val="00051DD8"/>
    <w:rsid w:val="00054A5B"/>
    <w:rsid w:val="00056BF0"/>
    <w:rsid w:val="0006240E"/>
    <w:rsid w:val="00065C47"/>
    <w:rsid w:val="00073984"/>
    <w:rsid w:val="00076B41"/>
    <w:rsid w:val="0008323F"/>
    <w:rsid w:val="00087EFB"/>
    <w:rsid w:val="000A51C9"/>
    <w:rsid w:val="000B1153"/>
    <w:rsid w:val="000B63FB"/>
    <w:rsid w:val="000C3164"/>
    <w:rsid w:val="000C4FE5"/>
    <w:rsid w:val="000E41CF"/>
    <w:rsid w:val="000F02FC"/>
    <w:rsid w:val="000F0D79"/>
    <w:rsid w:val="000F586E"/>
    <w:rsid w:val="000F799E"/>
    <w:rsid w:val="0010546C"/>
    <w:rsid w:val="00113C03"/>
    <w:rsid w:val="00114F5D"/>
    <w:rsid w:val="00116BF5"/>
    <w:rsid w:val="00140A63"/>
    <w:rsid w:val="001440D4"/>
    <w:rsid w:val="00151F68"/>
    <w:rsid w:val="00160B71"/>
    <w:rsid w:val="00160F24"/>
    <w:rsid w:val="00171C7F"/>
    <w:rsid w:val="00174D2F"/>
    <w:rsid w:val="001811E7"/>
    <w:rsid w:val="0018466F"/>
    <w:rsid w:val="00186F31"/>
    <w:rsid w:val="00193455"/>
    <w:rsid w:val="00193F46"/>
    <w:rsid w:val="001A51A0"/>
    <w:rsid w:val="001B0B93"/>
    <w:rsid w:val="001B3F09"/>
    <w:rsid w:val="001B4735"/>
    <w:rsid w:val="001C0FB2"/>
    <w:rsid w:val="001C35CB"/>
    <w:rsid w:val="001D0135"/>
    <w:rsid w:val="001D4B2C"/>
    <w:rsid w:val="001E2651"/>
    <w:rsid w:val="001E527C"/>
    <w:rsid w:val="001F0D4F"/>
    <w:rsid w:val="001F33D5"/>
    <w:rsid w:val="001F39E4"/>
    <w:rsid w:val="001F672F"/>
    <w:rsid w:val="00203B18"/>
    <w:rsid w:val="00203C5D"/>
    <w:rsid w:val="00221342"/>
    <w:rsid w:val="00226678"/>
    <w:rsid w:val="00227C44"/>
    <w:rsid w:val="00233370"/>
    <w:rsid w:val="00234763"/>
    <w:rsid w:val="002358D6"/>
    <w:rsid w:val="00241175"/>
    <w:rsid w:val="00270A3C"/>
    <w:rsid w:val="00282FF0"/>
    <w:rsid w:val="00284786"/>
    <w:rsid w:val="002913A7"/>
    <w:rsid w:val="002A596C"/>
    <w:rsid w:val="002B4C08"/>
    <w:rsid w:val="002C186D"/>
    <w:rsid w:val="002C1E47"/>
    <w:rsid w:val="002C34FB"/>
    <w:rsid w:val="002D28CC"/>
    <w:rsid w:val="002D7626"/>
    <w:rsid w:val="002E2ADD"/>
    <w:rsid w:val="00304126"/>
    <w:rsid w:val="00304A61"/>
    <w:rsid w:val="00313E95"/>
    <w:rsid w:val="003208B7"/>
    <w:rsid w:val="00332C2B"/>
    <w:rsid w:val="00335DD7"/>
    <w:rsid w:val="00336AA7"/>
    <w:rsid w:val="00350138"/>
    <w:rsid w:val="00357204"/>
    <w:rsid w:val="00363CB3"/>
    <w:rsid w:val="00372A51"/>
    <w:rsid w:val="00382625"/>
    <w:rsid w:val="00386E87"/>
    <w:rsid w:val="00393296"/>
    <w:rsid w:val="003A058F"/>
    <w:rsid w:val="003A4739"/>
    <w:rsid w:val="003A517A"/>
    <w:rsid w:val="003A55BE"/>
    <w:rsid w:val="003C154B"/>
    <w:rsid w:val="003C20D3"/>
    <w:rsid w:val="003C683D"/>
    <w:rsid w:val="003D7726"/>
    <w:rsid w:val="003E4B00"/>
    <w:rsid w:val="003F2AD7"/>
    <w:rsid w:val="003F3C26"/>
    <w:rsid w:val="003F3DCD"/>
    <w:rsid w:val="003F4A1E"/>
    <w:rsid w:val="003F6272"/>
    <w:rsid w:val="00402D58"/>
    <w:rsid w:val="00410E14"/>
    <w:rsid w:val="0041193C"/>
    <w:rsid w:val="00441874"/>
    <w:rsid w:val="004454DF"/>
    <w:rsid w:val="00445763"/>
    <w:rsid w:val="00450104"/>
    <w:rsid w:val="00452738"/>
    <w:rsid w:val="00456628"/>
    <w:rsid w:val="00460B45"/>
    <w:rsid w:val="0046598E"/>
    <w:rsid w:val="00474E6C"/>
    <w:rsid w:val="00483702"/>
    <w:rsid w:val="0049204E"/>
    <w:rsid w:val="004970BE"/>
    <w:rsid w:val="004A249A"/>
    <w:rsid w:val="004A2E6B"/>
    <w:rsid w:val="004A359E"/>
    <w:rsid w:val="004A4205"/>
    <w:rsid w:val="004C4425"/>
    <w:rsid w:val="004C5B09"/>
    <w:rsid w:val="004C72BF"/>
    <w:rsid w:val="004D37E8"/>
    <w:rsid w:val="004D3FFF"/>
    <w:rsid w:val="004E1DEC"/>
    <w:rsid w:val="004E2F44"/>
    <w:rsid w:val="004E5ADF"/>
    <w:rsid w:val="004E64A0"/>
    <w:rsid w:val="00500421"/>
    <w:rsid w:val="005006E0"/>
    <w:rsid w:val="00504151"/>
    <w:rsid w:val="0050715B"/>
    <w:rsid w:val="00515114"/>
    <w:rsid w:val="00515419"/>
    <w:rsid w:val="00516E17"/>
    <w:rsid w:val="0052094A"/>
    <w:rsid w:val="00520A19"/>
    <w:rsid w:val="00530FD2"/>
    <w:rsid w:val="00532DB3"/>
    <w:rsid w:val="00535D4F"/>
    <w:rsid w:val="00537681"/>
    <w:rsid w:val="00543630"/>
    <w:rsid w:val="00544D36"/>
    <w:rsid w:val="00545486"/>
    <w:rsid w:val="00550031"/>
    <w:rsid w:val="0056231E"/>
    <w:rsid w:val="00564925"/>
    <w:rsid w:val="00570203"/>
    <w:rsid w:val="00573B7A"/>
    <w:rsid w:val="005818CE"/>
    <w:rsid w:val="0058304A"/>
    <w:rsid w:val="005838AA"/>
    <w:rsid w:val="00583F9B"/>
    <w:rsid w:val="00585F66"/>
    <w:rsid w:val="0059050E"/>
    <w:rsid w:val="0059564E"/>
    <w:rsid w:val="005A493D"/>
    <w:rsid w:val="005B4800"/>
    <w:rsid w:val="005B5A7A"/>
    <w:rsid w:val="005C4B99"/>
    <w:rsid w:val="005D41C0"/>
    <w:rsid w:val="005D6923"/>
    <w:rsid w:val="005D6CA2"/>
    <w:rsid w:val="005E1BA2"/>
    <w:rsid w:val="005E68E9"/>
    <w:rsid w:val="005F1247"/>
    <w:rsid w:val="005F3E02"/>
    <w:rsid w:val="005F3EAE"/>
    <w:rsid w:val="00605632"/>
    <w:rsid w:val="006113C8"/>
    <w:rsid w:val="00617C86"/>
    <w:rsid w:val="00621E35"/>
    <w:rsid w:val="00622727"/>
    <w:rsid w:val="0063234E"/>
    <w:rsid w:val="0063270C"/>
    <w:rsid w:val="0063448D"/>
    <w:rsid w:val="00645471"/>
    <w:rsid w:val="00654CB7"/>
    <w:rsid w:val="00655BB4"/>
    <w:rsid w:val="006651D2"/>
    <w:rsid w:val="00671529"/>
    <w:rsid w:val="00672FDF"/>
    <w:rsid w:val="00682581"/>
    <w:rsid w:val="00685A46"/>
    <w:rsid w:val="00685BF8"/>
    <w:rsid w:val="00691534"/>
    <w:rsid w:val="006A58B9"/>
    <w:rsid w:val="006B1112"/>
    <w:rsid w:val="006C4C18"/>
    <w:rsid w:val="006C7247"/>
    <w:rsid w:val="006D1B50"/>
    <w:rsid w:val="006D254A"/>
    <w:rsid w:val="006E0EC3"/>
    <w:rsid w:val="006E5A36"/>
    <w:rsid w:val="006E5DDF"/>
    <w:rsid w:val="006F0275"/>
    <w:rsid w:val="006F41E6"/>
    <w:rsid w:val="00703173"/>
    <w:rsid w:val="007207AA"/>
    <w:rsid w:val="00725EFE"/>
    <w:rsid w:val="00730312"/>
    <w:rsid w:val="007500E0"/>
    <w:rsid w:val="00771174"/>
    <w:rsid w:val="007755C6"/>
    <w:rsid w:val="00785BE7"/>
    <w:rsid w:val="007919FE"/>
    <w:rsid w:val="00795582"/>
    <w:rsid w:val="0079574D"/>
    <w:rsid w:val="007A3B52"/>
    <w:rsid w:val="007A58A5"/>
    <w:rsid w:val="007B008B"/>
    <w:rsid w:val="007C1FA6"/>
    <w:rsid w:val="007C3CDD"/>
    <w:rsid w:val="007C6782"/>
    <w:rsid w:val="007D64FF"/>
    <w:rsid w:val="007D744E"/>
    <w:rsid w:val="007E7E8E"/>
    <w:rsid w:val="007F5711"/>
    <w:rsid w:val="007F7772"/>
    <w:rsid w:val="008018FE"/>
    <w:rsid w:val="008124D7"/>
    <w:rsid w:val="0081261D"/>
    <w:rsid w:val="008136F7"/>
    <w:rsid w:val="0081693E"/>
    <w:rsid w:val="008351C3"/>
    <w:rsid w:val="00844A7B"/>
    <w:rsid w:val="00850D3E"/>
    <w:rsid w:val="0086198D"/>
    <w:rsid w:val="0086784C"/>
    <w:rsid w:val="008702F5"/>
    <w:rsid w:val="008771B3"/>
    <w:rsid w:val="00882279"/>
    <w:rsid w:val="008834BD"/>
    <w:rsid w:val="00884D1F"/>
    <w:rsid w:val="008904E2"/>
    <w:rsid w:val="0089095E"/>
    <w:rsid w:val="00895FA8"/>
    <w:rsid w:val="008B3642"/>
    <w:rsid w:val="008B6B0F"/>
    <w:rsid w:val="008B729B"/>
    <w:rsid w:val="008D47CC"/>
    <w:rsid w:val="008E0189"/>
    <w:rsid w:val="008E3C33"/>
    <w:rsid w:val="008E7141"/>
    <w:rsid w:val="008F151D"/>
    <w:rsid w:val="008F3464"/>
    <w:rsid w:val="008F354F"/>
    <w:rsid w:val="008F3C54"/>
    <w:rsid w:val="009012B2"/>
    <w:rsid w:val="00913582"/>
    <w:rsid w:val="00915201"/>
    <w:rsid w:val="00917247"/>
    <w:rsid w:val="009172A9"/>
    <w:rsid w:val="009201E4"/>
    <w:rsid w:val="0092044F"/>
    <w:rsid w:val="0092580B"/>
    <w:rsid w:val="00926E7E"/>
    <w:rsid w:val="00934549"/>
    <w:rsid w:val="00934B31"/>
    <w:rsid w:val="00934DA9"/>
    <w:rsid w:val="00941A14"/>
    <w:rsid w:val="009570B7"/>
    <w:rsid w:val="00962CAD"/>
    <w:rsid w:val="009636C4"/>
    <w:rsid w:val="00964909"/>
    <w:rsid w:val="00970F59"/>
    <w:rsid w:val="00971C43"/>
    <w:rsid w:val="00972BD0"/>
    <w:rsid w:val="00980A91"/>
    <w:rsid w:val="00981228"/>
    <w:rsid w:val="00981BF0"/>
    <w:rsid w:val="00993B8B"/>
    <w:rsid w:val="00994886"/>
    <w:rsid w:val="00995F3D"/>
    <w:rsid w:val="009A1E28"/>
    <w:rsid w:val="009A3622"/>
    <w:rsid w:val="009A4BE5"/>
    <w:rsid w:val="009D454F"/>
    <w:rsid w:val="009D7166"/>
    <w:rsid w:val="009F1977"/>
    <w:rsid w:val="009F21D0"/>
    <w:rsid w:val="009F3F85"/>
    <w:rsid w:val="00A13248"/>
    <w:rsid w:val="00A14EBA"/>
    <w:rsid w:val="00A17A5B"/>
    <w:rsid w:val="00A33A35"/>
    <w:rsid w:val="00A4007A"/>
    <w:rsid w:val="00A40D46"/>
    <w:rsid w:val="00A5779E"/>
    <w:rsid w:val="00A62E69"/>
    <w:rsid w:val="00A648D5"/>
    <w:rsid w:val="00A65F37"/>
    <w:rsid w:val="00A7133F"/>
    <w:rsid w:val="00A77DC3"/>
    <w:rsid w:val="00A82469"/>
    <w:rsid w:val="00AA4931"/>
    <w:rsid w:val="00AA4C2F"/>
    <w:rsid w:val="00AA592A"/>
    <w:rsid w:val="00AB29F8"/>
    <w:rsid w:val="00AC3353"/>
    <w:rsid w:val="00AC4F57"/>
    <w:rsid w:val="00AD2909"/>
    <w:rsid w:val="00AD3D99"/>
    <w:rsid w:val="00AD7847"/>
    <w:rsid w:val="00AE0060"/>
    <w:rsid w:val="00AE02DA"/>
    <w:rsid w:val="00AE0B6E"/>
    <w:rsid w:val="00B137A8"/>
    <w:rsid w:val="00B13B1A"/>
    <w:rsid w:val="00B140A1"/>
    <w:rsid w:val="00B1452B"/>
    <w:rsid w:val="00B17C77"/>
    <w:rsid w:val="00B26871"/>
    <w:rsid w:val="00B41D61"/>
    <w:rsid w:val="00B541C2"/>
    <w:rsid w:val="00B54F61"/>
    <w:rsid w:val="00B57E5B"/>
    <w:rsid w:val="00B62330"/>
    <w:rsid w:val="00B703AE"/>
    <w:rsid w:val="00B75D2C"/>
    <w:rsid w:val="00B822AB"/>
    <w:rsid w:val="00B83789"/>
    <w:rsid w:val="00B84559"/>
    <w:rsid w:val="00B84F99"/>
    <w:rsid w:val="00B944C4"/>
    <w:rsid w:val="00BA02C7"/>
    <w:rsid w:val="00BA43C5"/>
    <w:rsid w:val="00BB5D74"/>
    <w:rsid w:val="00BC2D8D"/>
    <w:rsid w:val="00BC5762"/>
    <w:rsid w:val="00BE6BF0"/>
    <w:rsid w:val="00BE7924"/>
    <w:rsid w:val="00BF27D4"/>
    <w:rsid w:val="00BF4C09"/>
    <w:rsid w:val="00C11BAE"/>
    <w:rsid w:val="00C1591C"/>
    <w:rsid w:val="00C213F1"/>
    <w:rsid w:val="00C22443"/>
    <w:rsid w:val="00C24B73"/>
    <w:rsid w:val="00C24BA6"/>
    <w:rsid w:val="00C24F1E"/>
    <w:rsid w:val="00C30FB9"/>
    <w:rsid w:val="00C37E0E"/>
    <w:rsid w:val="00C414B6"/>
    <w:rsid w:val="00C42D8D"/>
    <w:rsid w:val="00C44922"/>
    <w:rsid w:val="00C50EAE"/>
    <w:rsid w:val="00C7065B"/>
    <w:rsid w:val="00C8020F"/>
    <w:rsid w:val="00C815D8"/>
    <w:rsid w:val="00C8730C"/>
    <w:rsid w:val="00C93B8C"/>
    <w:rsid w:val="00C95D06"/>
    <w:rsid w:val="00CA50A8"/>
    <w:rsid w:val="00CB6320"/>
    <w:rsid w:val="00CC171A"/>
    <w:rsid w:val="00CC282F"/>
    <w:rsid w:val="00CC77F1"/>
    <w:rsid w:val="00CD18ED"/>
    <w:rsid w:val="00CD3CBE"/>
    <w:rsid w:val="00CD47EB"/>
    <w:rsid w:val="00CF3FAC"/>
    <w:rsid w:val="00CF54B1"/>
    <w:rsid w:val="00CF6049"/>
    <w:rsid w:val="00D05955"/>
    <w:rsid w:val="00D060AE"/>
    <w:rsid w:val="00D11757"/>
    <w:rsid w:val="00D11ADE"/>
    <w:rsid w:val="00D14999"/>
    <w:rsid w:val="00D20145"/>
    <w:rsid w:val="00D22FEF"/>
    <w:rsid w:val="00D2480B"/>
    <w:rsid w:val="00D25EEF"/>
    <w:rsid w:val="00D31962"/>
    <w:rsid w:val="00D31AE3"/>
    <w:rsid w:val="00D47D77"/>
    <w:rsid w:val="00D50D0A"/>
    <w:rsid w:val="00D5201E"/>
    <w:rsid w:val="00D52B5C"/>
    <w:rsid w:val="00D54710"/>
    <w:rsid w:val="00D553C3"/>
    <w:rsid w:val="00D60C8D"/>
    <w:rsid w:val="00D61E08"/>
    <w:rsid w:val="00D6264C"/>
    <w:rsid w:val="00D6316A"/>
    <w:rsid w:val="00D703B2"/>
    <w:rsid w:val="00D74F0B"/>
    <w:rsid w:val="00D77031"/>
    <w:rsid w:val="00D85E79"/>
    <w:rsid w:val="00D87725"/>
    <w:rsid w:val="00DA3C9F"/>
    <w:rsid w:val="00DB5E37"/>
    <w:rsid w:val="00DB7643"/>
    <w:rsid w:val="00DC1BDD"/>
    <w:rsid w:val="00DC3829"/>
    <w:rsid w:val="00DC678E"/>
    <w:rsid w:val="00DD78DD"/>
    <w:rsid w:val="00DE14CE"/>
    <w:rsid w:val="00DE5C9C"/>
    <w:rsid w:val="00DF469F"/>
    <w:rsid w:val="00E067F0"/>
    <w:rsid w:val="00E06EEA"/>
    <w:rsid w:val="00E101D5"/>
    <w:rsid w:val="00E11942"/>
    <w:rsid w:val="00E14A94"/>
    <w:rsid w:val="00E20AD5"/>
    <w:rsid w:val="00E25776"/>
    <w:rsid w:val="00E25B43"/>
    <w:rsid w:val="00E25B5A"/>
    <w:rsid w:val="00E26D79"/>
    <w:rsid w:val="00E3103D"/>
    <w:rsid w:val="00E400F7"/>
    <w:rsid w:val="00E4285A"/>
    <w:rsid w:val="00E4661F"/>
    <w:rsid w:val="00E537EF"/>
    <w:rsid w:val="00E5478B"/>
    <w:rsid w:val="00E60C6F"/>
    <w:rsid w:val="00E60CDE"/>
    <w:rsid w:val="00E63DC7"/>
    <w:rsid w:val="00E6401C"/>
    <w:rsid w:val="00E65C17"/>
    <w:rsid w:val="00E65CDF"/>
    <w:rsid w:val="00E70B80"/>
    <w:rsid w:val="00E72021"/>
    <w:rsid w:val="00E81451"/>
    <w:rsid w:val="00E92097"/>
    <w:rsid w:val="00E93D0C"/>
    <w:rsid w:val="00E945BD"/>
    <w:rsid w:val="00E94F5C"/>
    <w:rsid w:val="00E96249"/>
    <w:rsid w:val="00EA6A65"/>
    <w:rsid w:val="00EC73AC"/>
    <w:rsid w:val="00EC7CA4"/>
    <w:rsid w:val="00ED1612"/>
    <w:rsid w:val="00ED6E16"/>
    <w:rsid w:val="00ED716C"/>
    <w:rsid w:val="00EF2534"/>
    <w:rsid w:val="00EF4746"/>
    <w:rsid w:val="00F00F6F"/>
    <w:rsid w:val="00F056DB"/>
    <w:rsid w:val="00F07EBA"/>
    <w:rsid w:val="00F12179"/>
    <w:rsid w:val="00F174E3"/>
    <w:rsid w:val="00F22DBF"/>
    <w:rsid w:val="00F26AD7"/>
    <w:rsid w:val="00F37FC6"/>
    <w:rsid w:val="00F472CB"/>
    <w:rsid w:val="00F51995"/>
    <w:rsid w:val="00F55386"/>
    <w:rsid w:val="00F560C7"/>
    <w:rsid w:val="00F5657F"/>
    <w:rsid w:val="00F56A2C"/>
    <w:rsid w:val="00F6172F"/>
    <w:rsid w:val="00F67DE5"/>
    <w:rsid w:val="00F70041"/>
    <w:rsid w:val="00F74A09"/>
    <w:rsid w:val="00F80278"/>
    <w:rsid w:val="00F812FC"/>
    <w:rsid w:val="00F839FF"/>
    <w:rsid w:val="00F91251"/>
    <w:rsid w:val="00F95C13"/>
    <w:rsid w:val="00FB48FC"/>
    <w:rsid w:val="00FB4FB3"/>
    <w:rsid w:val="00FB59C4"/>
    <w:rsid w:val="00FC2910"/>
    <w:rsid w:val="00FC52A6"/>
    <w:rsid w:val="00FD191F"/>
    <w:rsid w:val="00FE1F00"/>
    <w:rsid w:val="00FE5709"/>
    <w:rsid w:val="00FE6142"/>
    <w:rsid w:val="00F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1212D"/>
  <w15:docId w15:val="{21C2F882-4C7F-420C-85D3-32CA52FA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41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D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278"/>
      <w:ind w:left="141" w:right="1002"/>
    </w:pPr>
    <w:rPr>
      <w:rFonts w:ascii="Trebuchet MS" w:eastAsia="Trebuchet MS" w:hAnsi="Trebuchet MS" w:cs="Trebuchet MS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2"/>
      <w:ind w:left="441" w:right="66" w:hanging="30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CommentText">
    <w:name w:val="annotation text"/>
    <w:basedOn w:val="Normal"/>
    <w:link w:val="CommentTextChar"/>
    <w:uiPriority w:val="99"/>
    <w:unhideWhenUsed/>
    <w:rsid w:val="00BB5D74"/>
    <w:pPr>
      <w:widowControl/>
      <w:autoSpaceDE/>
      <w:autoSpaceDN/>
      <w:spacing w:before="100" w:beforeAutospacing="1" w:after="100" w:afterAutospacing="1" w:line="360" w:lineRule="auto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D74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Heading1Char">
    <w:name w:val="Heading 1 Char"/>
    <w:link w:val="Heading1"/>
    <w:uiPriority w:val="9"/>
    <w:rsid w:val="00BB5D74"/>
    <w:rPr>
      <w:rFonts w:ascii="Tahoma" w:eastAsia="Tahoma" w:hAnsi="Tahoma" w:cs="Tahoma"/>
      <w:b/>
      <w:bCs/>
      <w:sz w:val="20"/>
      <w:szCs w:val="20"/>
    </w:rPr>
  </w:style>
  <w:style w:type="character" w:customStyle="1" w:styleId="fontstyle01">
    <w:name w:val="fontstyle01"/>
    <w:rsid w:val="00BB5D74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unhideWhenUsed/>
    <w:rsid w:val="00BB5D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5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D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5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D74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BB5D7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160F2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C171A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CC171A"/>
    <w:pPr>
      <w:spacing w:after="200"/>
    </w:pPr>
    <w:rPr>
      <w:i/>
      <w:iCs/>
      <w:color w:val="1F497D" w:themeColor="text2"/>
      <w:sz w:val="18"/>
      <w:szCs w:val="18"/>
    </w:rPr>
  </w:style>
  <w:style w:type="paragraph" w:styleId="NoSpacing">
    <w:name w:val="No Spacing"/>
    <w:uiPriority w:val="1"/>
    <w:qFormat/>
    <w:rsid w:val="00270A3C"/>
    <w:pPr>
      <w:widowControl/>
      <w:autoSpaceDE/>
      <w:autoSpaceDN/>
      <w:spacing w:beforeAutospacing="1" w:afterAutospacing="1"/>
      <w:jc w:val="both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980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357204"/>
    <w:rPr>
      <w:b/>
      <w:bCs/>
    </w:rPr>
  </w:style>
  <w:style w:type="character" w:customStyle="1" w:styleId="BodyTextChar">
    <w:name w:val="Body Text Char"/>
    <w:link w:val="BodyText"/>
    <w:uiPriority w:val="1"/>
    <w:rsid w:val="00605632"/>
    <w:rPr>
      <w:rFonts w:ascii="Times New Roman" w:eastAsia="Times New Roman" w:hAnsi="Times New Roman" w:cs="Times New Roman"/>
      <w:sz w:val="19"/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D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F6172F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6172F"/>
    <w:rPr>
      <w:rFonts w:ascii="Times New Roman" w:eastAsia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F6172F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6172F"/>
    <w:rPr>
      <w:rFonts w:ascii="Times New Roman" w:eastAsia="Times New Roman" w:hAnsi="Times New Roman" w:cs="Times New Roman"/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172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172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6172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1591C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E7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AB79D09-B1D8-451E-90A5-8E882FAB0975}">
  <we:reference id="wa104382081" version="1.55.1.0" store="en-US" storeType="OMEX"/>
  <we:alternateReferences>
    <we:reference id="WA104382081" version="1.55.1.0" store="" storeType="OMEX"/>
  </we:alternateReferences>
  <we:properties>
    <we:property name="MENDELEY_BIBLIOGRAPHY_IS_DIRTY" value="true"/>
    <we:property name="MENDELEY_BIBLIOGRAPHY_LAST_MODIFIED" value="1772020009257"/>
    <we:property name="MENDELEY_CITATIONS" value="[]"/>
    <we:property name="MENDELEY_CITATIONS_STYLE" value="{&quot;id&quot;:&quot;https://www.zotero.org/styles/apa&quot;,&quot;title&quot;:&quot;APA Style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6DCDB-E5F3-47F6-A74A-E9757422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Tame</dc:creator>
  <cp:lastModifiedBy>Tamirat TekileGiorgis</cp:lastModifiedBy>
  <cp:revision>6</cp:revision>
  <cp:lastPrinted>2026-02-20T05:24:00Z</cp:lastPrinted>
  <dcterms:created xsi:type="dcterms:W3CDTF">2026-03-03T11:50:00Z</dcterms:created>
  <dcterms:modified xsi:type="dcterms:W3CDTF">2026-03-16T07:55:00Z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Adobe InDesign 18.3 (Windows)</vt:lpwstr>
  </property>
  <property fmtid="{D5CDD505-2E9C-101B-9397-08002B2CF9AE}" pid="4" name="CrossMarkDomains[1]">
    <vt:lpwstr>springer.com</vt:lpwstr>
  </property>
  <property fmtid="{D5CDD505-2E9C-101B-9397-08002B2CF9AE}" pid="5" name="CrossMarkDomains[2]">
    <vt:lpwstr>springerlink.com</vt:lpwstr>
  </property>
  <property fmtid="{D5CDD505-2E9C-101B-9397-08002B2CF9AE}" pid="6" name="CrossmarkDomainExclusive">
    <vt:lpwstr>true</vt:lpwstr>
  </property>
  <property fmtid="{D5CDD505-2E9C-101B-9397-08002B2CF9AE}" pid="7" name="CrossmarkMajorVersionDate">
    <vt:lpwstr>2010-04-23</vt:lpwstr>
  </property>
  <property fmtid="{D5CDD505-2E9C-101B-9397-08002B2CF9AE}" pid="8" name="LastSaved">
    <vt:filetime>2026-02-12T00:00:00Z</vt:filetime>
  </property>
  <property fmtid="{D5CDD505-2E9C-101B-9397-08002B2CF9AE}" pid="9" name="Producer">
    <vt:lpwstr>Adobe PDF Library 17.0; modified using iText® 5.3.5 ©2000-2012 1T3XT BVBA (SPRINGER SBM; licensed version)</vt:lpwstr>
  </property>
  <property fmtid="{D5CDD505-2E9C-101B-9397-08002B2CF9AE}" pid="10" name="doi">
    <vt:lpwstr>10.1186/s12985-024-02485-w</vt:lpwstr>
  </property>
</Properties>
</file>