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EC9D54">
      <w:pPr>
        <w:spacing w:line="360" w:lineRule="auto"/>
        <w:jc w:val="center"/>
        <w:rPr>
          <w:rFonts w:ascii="Times New Roman" w:hAnsi="Times New Roman" w:eastAsia="宋体" w:cs="Times New Roman"/>
          <w:b/>
          <w:sz w:val="24"/>
          <w:szCs w:val="24"/>
        </w:rPr>
      </w:pPr>
      <w:r>
        <w:rPr>
          <w:rFonts w:hint="eastAsia" w:ascii="Times New Roman" w:hAnsi="Times New Roman" w:eastAsia="宋体" w:cs="Times New Roman"/>
          <w:b/>
          <w:sz w:val="24"/>
          <w:szCs w:val="24"/>
        </w:rPr>
        <w:t>Circadian Rhythm Disruption Aggravates Periodontitis by Promoting M1 Polarization via BMAL1 / IGF-1 signaling axis</w:t>
      </w:r>
    </w:p>
    <w:p w14:paraId="0BC8F993">
      <w:pPr>
        <w:spacing w:before="156" w:beforeLines="50" w:line="360" w:lineRule="auto"/>
        <w:rPr>
          <w:rFonts w:ascii="Times New Roman" w:hAnsi="Times New Roman" w:eastAsia="宋体" w:cs="Times New Roman"/>
          <w:b/>
          <w:i/>
          <w:iCs/>
          <w:sz w:val="24"/>
          <w:szCs w:val="24"/>
        </w:rPr>
      </w:pPr>
      <w:r>
        <w:rPr>
          <w:rFonts w:ascii="Times New Roman" w:hAnsi="Times New Roman" w:eastAsia="宋体" w:cs="Times New Roman"/>
          <w:b/>
          <w:bCs/>
          <w:i/>
          <w:iCs/>
          <w:sz w:val="24"/>
          <w:szCs w:val="24"/>
        </w:rPr>
        <w:t>Supplementary</w:t>
      </w:r>
      <w:r>
        <w:rPr>
          <w:rFonts w:ascii="Times New Roman" w:hAnsi="Times New Roman" w:eastAsia="宋体" w:cs="Times New Roman"/>
          <w:b/>
          <w:i/>
          <w:iCs/>
          <w:sz w:val="24"/>
          <w:szCs w:val="24"/>
        </w:rPr>
        <w:t xml:space="preserve"> </w:t>
      </w:r>
      <w:bookmarkStart w:id="0" w:name="_Hlk222599458"/>
      <w:r>
        <w:rPr>
          <w:rFonts w:ascii="Times New Roman" w:hAnsi="Times New Roman" w:eastAsia="宋体" w:cs="Times New Roman"/>
          <w:b/>
          <w:i/>
          <w:iCs/>
          <w:sz w:val="24"/>
          <w:szCs w:val="24"/>
        </w:rPr>
        <w:t>Material</w:t>
      </w:r>
      <w:bookmarkEnd w:id="0"/>
      <w:r>
        <w:rPr>
          <w:rFonts w:ascii="Times New Roman" w:hAnsi="Times New Roman" w:eastAsia="宋体" w:cs="Times New Roman"/>
          <w:b/>
          <w:i/>
          <w:iCs/>
          <w:sz w:val="24"/>
          <w:szCs w:val="24"/>
        </w:rPr>
        <w:t>s and Methods</w:t>
      </w:r>
    </w:p>
    <w:p w14:paraId="08D58301">
      <w:pPr>
        <w:spacing w:before="156" w:beforeLines="50" w:line="360" w:lineRule="auto"/>
        <w:rPr>
          <w:rFonts w:ascii="Times New Roman" w:hAnsi="Times New Roman" w:cs="Times New Roman"/>
          <w:sz w:val="24"/>
          <w:szCs w:val="24"/>
        </w:rPr>
      </w:pPr>
      <w:r>
        <w:rPr>
          <w:rFonts w:ascii="Times New Roman" w:hAnsi="Times New Roman" w:eastAsia="宋体" w:cs="Times New Roman"/>
          <w:b/>
          <w:sz w:val="24"/>
          <w:szCs w:val="24"/>
        </w:rPr>
        <w:t>Animals</w:t>
      </w:r>
    </w:p>
    <w:p w14:paraId="720DA750">
      <w:pPr>
        <w:spacing w:line="360" w:lineRule="auto"/>
        <w:rPr>
          <w:rFonts w:ascii="Times New Roman" w:hAnsi="Times New Roman" w:eastAsia="宋体" w:cs="Times New Roman"/>
          <w:bCs/>
          <w:sz w:val="24"/>
          <w:szCs w:val="24"/>
        </w:rPr>
      </w:pPr>
      <w:r>
        <w:rPr>
          <w:rFonts w:ascii="Times New Roman" w:hAnsi="Times New Roman" w:eastAsia="宋体" w:cs="Times New Roman"/>
          <w:b/>
          <w:sz w:val="24"/>
          <w:szCs w:val="24"/>
        </w:rPr>
        <w:t xml:space="preserve">Periodontitis models with circadian disturbance: </w:t>
      </w:r>
      <w:r>
        <w:rPr>
          <w:rFonts w:ascii="Times New Roman" w:hAnsi="Times New Roman" w:eastAsia="宋体" w:cs="Times New Roman"/>
          <w:bCs/>
          <w:sz w:val="24"/>
          <w:szCs w:val="24"/>
        </w:rPr>
        <w:t xml:space="preserve">6-week-old male C57BL/6J mice were randomly assigned to standard LD12:12 (8 a.m. - 8 p.m.) or jet lag conditions (each n = 16). Mice in the jet lag group were housed in an environment with a varying light cycle, with the start of lighting being advanced by 8 h every 2–3 days for eight weeks </w:t>
      </w:r>
      <w:r>
        <w:rPr>
          <w:rFonts w:ascii="Times New Roman" w:hAnsi="Times New Roman" w:eastAsia="宋体" w:cs="Times New Roman"/>
          <w:bCs/>
          <w:sz w:val="24"/>
          <w:szCs w:val="24"/>
        </w:rPr>
        <w:fldChar w:fldCharType="begin"/>
      </w:r>
      <w:r>
        <w:rPr>
          <w:rFonts w:ascii="Times New Roman" w:hAnsi="Times New Roman" w:eastAsia="宋体" w:cs="Times New Roman"/>
          <w:bCs/>
          <w:sz w:val="24"/>
          <w:szCs w:val="24"/>
        </w:rPr>
        <w:instrText xml:space="preserve"> ADDIN ZOTERO_ITEM CSL_CITATION {"citationID":"6uSko6hz","properties":{"formattedCitation":"(1)","plainCitation":"(1)","noteIndex":0},"citationItems":[{"id":280,"uris":["http://zotero.org/users/local/FtUECOod/items/EL6ZQMHQ"],"itemData":{"id":280,"type":"article-journal","container-title":"Stem Cell Reports","DOI":"10.1016/j.stemcr.2017.11.017","ISSN":"22136711","issue":"1","journalAbbreviation":"Stem Cell Reports","language":"en","page":"180-195","source":"DOI.org (Crossref)","title":"BMAL1 Deficiency Contributes to Mandibular Dysplasia by Upregulating MMP3","volume":"10","author":[{"family":"Zhao","given":"Jiajia"},{"family":"Zhou","given":"Xin"},{"family":"Tang","given":"Qingming"},{"family":"Yu","given":"Ran"},{"family":"Yu","given":"Shaoling"},{"family":"Long","given":"Yanlin"},{"family":"Cao","given":"Cen"},{"family":"Han","given":"Jun"},{"family":"Shi","given":"Anbing"},{"family":"Mao","given":"Jeremy J."},{"family":"Chen","given":"Xiong"},{"family":"Chen","given":"Lili"}],"issued":{"date-parts":[["2018",1]]}}}],"schema":"https://github.com/citation-style-language/schema/raw/master/csl-citation.json"} </w:instrText>
      </w:r>
      <w:r>
        <w:rPr>
          <w:rFonts w:ascii="Times New Roman" w:hAnsi="Times New Roman" w:eastAsia="宋体" w:cs="Times New Roman"/>
          <w:bCs/>
          <w:sz w:val="24"/>
          <w:szCs w:val="24"/>
        </w:rPr>
        <w:fldChar w:fldCharType="separate"/>
      </w:r>
      <w:r>
        <w:rPr>
          <w:rFonts w:hint="eastAsia" w:ascii="Times New Roman" w:hAnsi="Times New Roman" w:eastAsia="宋体" w:cs="Times New Roman"/>
          <w:bCs/>
          <w:sz w:val="24"/>
          <w:szCs w:val="24"/>
        </w:rPr>
        <w:t>(1)</w:t>
      </w:r>
      <w:r>
        <w:rPr>
          <w:rFonts w:ascii="Times New Roman" w:hAnsi="Times New Roman" w:eastAsia="宋体" w:cs="Times New Roman"/>
          <w:bCs/>
          <w:sz w:val="24"/>
          <w:szCs w:val="24"/>
        </w:rPr>
        <w:fldChar w:fldCharType="end"/>
      </w:r>
      <w:r>
        <w:rPr>
          <w:rFonts w:hint="eastAsia" w:ascii="Times New Roman" w:hAnsi="Times New Roman" w:eastAsia="宋体" w:cs="Times New Roman"/>
          <w:bCs/>
          <w:sz w:val="24"/>
          <w:szCs w:val="24"/>
        </w:rPr>
        <w:t xml:space="preserve"> (</w:t>
      </w:r>
      <w:r>
        <w:rPr>
          <w:rFonts w:ascii="Times New Roman" w:hAnsi="Times New Roman" w:eastAsia="宋体" w:cs="Times New Roman"/>
          <w:bCs/>
          <w:sz w:val="24"/>
          <w:szCs w:val="24"/>
        </w:rPr>
        <w:t xml:space="preserve"> Appendix Fig.1). Eight weeks later, eight mice were randomly selected from the LD12: 12 and jet lag groups. A 5-0 silk ligature was tied around mice's bilateral maxillary second molars for a week to induce ligature-induced periodontitis.</w:t>
      </w:r>
    </w:p>
    <w:p w14:paraId="10D89F47">
      <w:pPr>
        <w:spacing w:before="156" w:beforeLines="50" w:line="360" w:lineRule="auto"/>
        <w:rPr>
          <w:rFonts w:ascii="Times New Roman" w:hAnsi="Times New Roman" w:eastAsia="宋体" w:cs="Times New Roman"/>
          <w:bCs/>
          <w:sz w:val="24"/>
          <w:szCs w:val="24"/>
        </w:rPr>
      </w:pPr>
      <w:r>
        <w:rPr>
          <w:rFonts w:ascii="Times New Roman" w:hAnsi="Times New Roman" w:cs="Times New Roman"/>
          <w:b/>
          <w:bCs/>
          <w:i/>
          <w:iCs/>
          <w:sz w:val="24"/>
          <w:szCs w:val="24"/>
          <w:u w:val="single"/>
        </w:rPr>
        <w:t>B</w:t>
      </w:r>
      <w:r>
        <w:rPr>
          <w:rFonts w:ascii="Times New Roman" w:hAnsi="Times New Roman" w:eastAsia="宋体" w:cs="Times New Roman"/>
          <w:b/>
          <w:sz w:val="24"/>
          <w:szCs w:val="24"/>
        </w:rPr>
        <w:t xml:space="preserve">mal1-/- periodontitis model: </w:t>
      </w:r>
      <w:r>
        <w:rPr>
          <w:rFonts w:ascii="Times New Roman" w:hAnsi="Times New Roman" w:eastAsia="宋体" w:cs="Times New Roman"/>
          <w:bCs/>
          <w:sz w:val="24"/>
          <w:szCs w:val="24"/>
        </w:rPr>
        <w:t>Homozygous BMAL1 deficient (Bmal1-/-) rats on an SD background were generated by mating heterozygous BMAL1-deficient mating pairs (Bmal1+/-). BMAL1 deficiency was confirmed by multiplex PCR</w:t>
      </w:r>
      <w:r>
        <w:rPr>
          <w:rFonts w:hint="eastAsia" w:ascii="Times New Roman" w:hAnsi="Times New Roman" w:eastAsia="宋体" w:cs="Times New Roman"/>
          <w:bCs/>
          <w:sz w:val="24"/>
          <w:szCs w:val="24"/>
        </w:rPr>
        <w:t xml:space="preserve"> as described by Bunger and Ye (</w:t>
      </w:r>
      <w:r>
        <w:rPr>
          <w:rFonts w:ascii="Times New Roman" w:hAnsi="Times New Roman" w:eastAsia="宋体" w:cs="Times New Roman"/>
          <w:bCs/>
          <w:sz w:val="24"/>
          <w:szCs w:val="24"/>
        </w:rPr>
        <w:fldChar w:fldCharType="begin"/>
      </w:r>
      <w:r>
        <w:rPr>
          <w:rFonts w:ascii="Times New Roman" w:hAnsi="Times New Roman" w:eastAsia="宋体" w:cs="Times New Roman"/>
          <w:bCs/>
          <w:sz w:val="24"/>
          <w:szCs w:val="24"/>
        </w:rPr>
        <w:instrText xml:space="preserve"> ADDIN ZOTERO_ITEM CSL_CITATION {"citationID":"nEa5Ga9R","properties":{"formattedCitation":"(2,3)","plainCitation":"(2,3)","noteIndex":0},"citationItems":[{"id":480,"uris":["http://zotero.org/users/local/FtUECOod/items/9P46FLR8"],"itemData":{"id":480,"type":"article-journal","abstract":"BACKGROUND: Circadian rhythm disruption (CRD) affects the expression levels of a range of biological clock genes, such as brain and muscle ARNT-Like-1 (BMAL1), which is considered to be an important factor in triggering or exacerbating inflammatory response. However, the underlying effect of CRD on the pathogenesis of apical periodontitis, a common oral inflammatory disease, currently remains unknown. Exploring the effects and pathogenic mechanisms of CRD on apical periodontitis will be beneficial in providing new ideas for the prevention and treatment of apical periodontitis.\nMETHODOLOGY: The cross-sectional study was conducted among patients with apical periodontitis visiting to hospital. Rat models combining CRD and apical periodontitis were constructed, and the destruction of periapical alveolar bone was assessed by Micro-CT, H&amp;E, and TRAP staining assay. Rat periapical alveolar bone tissues were collected for RT-qPCR and immunohistochemistry to further detect the expression of periapical biological clock genes. A model of apical periodontitis was constructed using Bmal1-/- and WT rats to further verify the key role played by Bmal1. Finally, rats raised in CRD environment were intraperitoneally injected with melatonin to restore the circadian rhythm, and the periapical alveolar bone repair was observed by Masson's staining and staining of osteogenic markers (ALP, RUNX2).\nRESULTS: A close association between CRD and acute exacerbation of chronic apical periodontitis (CAP) in patients was first found in an epidemiological survey. By constructing animal models of CRD and apical periodontitis, it was found that CRD could aggravate the inflammatory stress of apical periodontitis and even drive the acute exacerbation of CAP. Further investigations suggested that the expression of crucial clock genes, especially Bmal1, were significantly disrupted in the periapical tissue of apical periodontitis. In addition, the periapical tissue from Bmal1 knockout rat displayed stronger inflammatory response and more severe alveolar bone destruction in apical periodontitis. Restoring circadian rhythm by melatonin supplementation could effectively alleviate both the inflammatory response and alveolar bone loss in apical periodontitis.\nCONCLUSION: CRD is a novel trigger in aggravating the inflammatory response and alveolar bone loss of apical periodontitis. Melatonin is expected to be used in the dental clinic as an important adjunctive therapy strategy for the healing of periapical tissue in apical periodontitis.","container-title":"International Endodontic Journal","DOI":"10.1111/iej.14201","ISSN":"1365-2591","issue":"5","journalAbbreviation":"Int Endod J","language":"eng","note":"PMID: 39871453","page":"744-756","source":"PubMed","title":"Circadian rhythm disruption aggravates alveolar bone loss in rat apical periodontitis","volume":"58","author":[{"family":"Ye","given":"Lanxiang"},{"family":"Mei","given":"Gang"},{"family":"Liu","given":"Huan"},{"family":"Zhong","given":"Rong"},{"family":"Tang","given":"Qingming"},{"family":"Yuan","given":"Zhenglin"}],"issued":{"date-parts":[["2025",5]]}}},{"id":230,"uris":["http://zotero.org/users/local/FtUECOod/items/QE8QJ79R"],"itemData":{"id":230,"type":"article-journal","abstract":"Circadian oscillations in mammalian physiology and behavior are regulated by an endogenous biological clock. Here we show that loss of the PAS protein MOP3 (also known as BMAL1) in mice results in immediate and complete loss of circadian rhythmicity in constant darkness. Additionally, locomotor activity in light–dark (LD) cycles is impaired and activity levels are reduced in Mop3−/− mice. Analysis of Period gene expression in the suprachiasmatic nucleus (SCN) indicates that these behavioral phenotypes arise from loss of circadian function at the molecular level. These results provide genetic evidence that MOP3 is the bona fide heterodimeric partner of mCLOCK. Furthermore, these data demonstrate that MOP3 is a non-redundant and essential component of the circadian pacemaker in mammals.","container-title":"Cell","ISSN":"0092-8674","issue":"7","journalAbbreviation":"Cell","language":"en-US","note":"PMID: 11163178\nPMCID: PMC3779439","page":"1009-1017","source":"PubMed Central","title":"Mop3 Is an Essential Component of the Master Circadian Pacemaker in Mammals","volume":"103","author":[{"family":"Bunger","given":"Maureen K."},{"family":"Wilsbacher","given":"Lisa D."},{"family":"Moran","given":"Susan M."},{"family":"Clendenin","given":"Cynthia"},{"family":"Radcliffe","given":"Laurel A."},{"family":"Hogenesch","given":"John B."},{"family":"Simon","given":"M. Celeste"},{"family":"Takahashi","given":"Joseph S."},{"family":"Bradfield","given":"Christopher A."}],"issued":{"date-parts":[["2000",12,22]]}}}],"schema":"https://github.com/citation-style-language/schema/raw/master/csl-citation.json"} </w:instrText>
      </w:r>
      <w:r>
        <w:rPr>
          <w:rFonts w:ascii="Times New Roman" w:hAnsi="Times New Roman" w:eastAsia="宋体" w:cs="Times New Roman"/>
          <w:bCs/>
          <w:sz w:val="24"/>
          <w:szCs w:val="24"/>
        </w:rPr>
        <w:fldChar w:fldCharType="separate"/>
      </w:r>
      <w:r>
        <w:rPr>
          <w:rFonts w:hint="eastAsia" w:ascii="Times New Roman" w:hAnsi="Times New Roman" w:eastAsia="宋体" w:cs="Times New Roman"/>
          <w:bCs/>
          <w:sz w:val="24"/>
          <w:szCs w:val="24"/>
        </w:rPr>
        <w:t>(2,3)</w:t>
      </w:r>
      <w:r>
        <w:rPr>
          <w:rFonts w:ascii="Times New Roman" w:hAnsi="Times New Roman" w:eastAsia="宋体" w:cs="Times New Roman"/>
          <w:bCs/>
          <w:sz w:val="24"/>
          <w:szCs w:val="24"/>
        </w:rPr>
        <w:fldChar w:fldCharType="end"/>
      </w:r>
      <w:r>
        <w:rPr>
          <w:rFonts w:hint="eastAsia" w:ascii="Times New Roman" w:hAnsi="Times New Roman" w:eastAsia="宋体" w:cs="Times New Roman"/>
          <w:bCs/>
          <w:sz w:val="24"/>
          <w:szCs w:val="24"/>
        </w:rPr>
        <w:t>)</w:t>
      </w:r>
      <w:r>
        <w:rPr>
          <w:rFonts w:ascii="Times New Roman" w:hAnsi="Times New Roman" w:eastAsia="宋体" w:cs="Times New Roman"/>
          <w:bCs/>
          <w:sz w:val="24"/>
          <w:szCs w:val="24"/>
        </w:rPr>
        <w:t xml:space="preserve"> </w:t>
      </w:r>
      <w:r>
        <w:rPr>
          <w:rFonts w:hint="eastAsia" w:ascii="Times New Roman" w:hAnsi="Times New Roman" w:eastAsia="宋体" w:cs="Times New Roman"/>
          <w:bCs/>
          <w:sz w:val="24"/>
          <w:szCs w:val="24"/>
        </w:rPr>
        <w:t>(</w:t>
      </w:r>
      <w:r>
        <w:rPr>
          <w:rFonts w:ascii="Times New Roman" w:hAnsi="Times New Roman" w:eastAsia="宋体" w:cs="Times New Roman"/>
          <w:bCs/>
          <w:sz w:val="24"/>
          <w:szCs w:val="24"/>
        </w:rPr>
        <w:t>Appendix Fig.2). Eight Bmal1-/-rats and eight wild-type rats were selected randomly. Periodontitis was induced by ligating maxillary second molars with 3-0 ligature for four weeks.</w:t>
      </w:r>
    </w:p>
    <w:p w14:paraId="616319F8">
      <w:pPr>
        <w:spacing w:before="156" w:beforeLines="50" w:line="360" w:lineRule="auto"/>
        <w:rPr>
          <w:rFonts w:ascii="Times New Roman" w:hAnsi="Times New Roman" w:cs="Times New Roman"/>
          <w:sz w:val="24"/>
          <w:szCs w:val="24"/>
        </w:rPr>
      </w:pPr>
      <w:r>
        <w:rPr>
          <w:rFonts w:ascii="Times New Roman" w:hAnsi="Times New Roman" w:cs="Times New Roman"/>
          <w:b/>
          <w:bCs/>
          <w:sz w:val="24"/>
          <w:szCs w:val="24"/>
        </w:rPr>
        <w:t>Chronotherapy</w:t>
      </w:r>
      <w:r>
        <w:rPr>
          <w:rFonts w:ascii="Times New Roman" w:hAnsi="Times New Roman" w:cs="Times New Roman"/>
          <w:sz w:val="24"/>
          <w:szCs w:val="24"/>
        </w:rPr>
        <w:t>: 6-week-old C57BL/6J male mice were randomly assigned to control and treatment groups (each n = 8). Periodontitis was induced for one week, as previously described. SR1078 agonist (20 µM, 100 µL) was administered intraperitoneally to the treatment group, whereas comparable normal saline was administered to the control group. Injections started on the day of ligation.</w:t>
      </w:r>
    </w:p>
    <w:p w14:paraId="3FA0581A">
      <w:pPr>
        <w:spacing w:before="156" w:beforeLines="50" w:line="360" w:lineRule="auto"/>
        <w:rPr>
          <w:rFonts w:ascii="Times New Roman" w:hAnsi="Times New Roman" w:cs="Times New Roman"/>
          <w:sz w:val="24"/>
          <w:szCs w:val="24"/>
        </w:rPr>
      </w:pPr>
      <w:r>
        <w:rPr>
          <w:rFonts w:hint="eastAsia" w:ascii="Times New Roman" w:hAnsi="Times New Roman" w:cs="Times New Roman"/>
          <w:sz w:val="24"/>
          <w:szCs w:val="24"/>
        </w:rPr>
        <w:t xml:space="preserve">In this study, a single mouse was defined as the experimental unit. The sample size was determined with reference to previous animal studies on periodontitis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xkCjF6gd","properties":{"formattedCitation":"(4\\uc0\\u8211{}6)","plainCitation":"(4–6)","noteIndex":0},"citationItems":[{"id":466,"uris":["http://zotero.org/users/local/FtUECOod/items/VEE5F2MV"],"itemData":{"id":466,"type":"article-journal","abstract":"Periodontitis is a bacteria-driven inflammatory destructive disease that leads to attachment loss, bone resorption, and even tooth loss. Accumulating studies revealed that macrophages might play an nonnegligible role during the processes of periodontitis. However, the underlying mechanism remains largely unknown. In this study, we found novel Akt2/JNK1/2/c-Jun and Akt2/miR-155-5p/DET1/c-Jun signaling pathways that regulated the polarization of macrophages and altered periodontal inflammatory status. Through hematoxylin and eosin, immunostaining, and immunofluorescence staining of clinical specimens, a higher number of M1 phenotype macrophage infiltration was found in periodontitis than in normal controls. Flow cytometry and immunofluorescence showed that overexpression of Akt2 in RAW 264.7 cells induced M1 macrophage polarization and decreased M2 polarization, while knockdown of Akt2 exerted an opposite effect. Furthermore, overexpression of Akt2 activated the JNK pathway and then increased the release of proinflammatory mediators, while knockdown of Akt2 downregulated the above genes accordingly. Importantly, the macrophage polarization and the subsequent alteration of pathway molecules induced by overexpression of Akt2 could be rescued by Akt2 and JNK inhibitors. Moreover, JNK inhibition could facilitate M2 polarization of macrophages. In a mouse periodontitis model, the novel signaling pathway as well as clinical phenotype was further verified. Inhibition of Akt2 facilitated macrophage M2 polarization and rescued the bone loss due to periodontitis. Collectively, we identified novel Akt2/JNK1/2/c-Jun and Akt2/miR-155-5p/DET1/c-Jun signaling pathways that regulate macrophage polarization and highlight that Akt2 inhibition promotes M2 polarization of macrophages and can be a novel potential candidate in the treatment of periodontitis.","container-title":"Journal of Dental Research","DOI":"10.1177/0022034520910127","ISSN":"0022-0345, 1544-0591","issue":"5","journalAbbreviation":"J Dent Res","language":"en","page":"577-587","source":"DOI.org (Crossref)","title":"Akt2 Affects Periodontal Inflammation via Altering the M1/M2 Ratio","volume":"99","author":[{"family":"Wu","given":"X."},{"family":"Chen","given":"H."},{"family":"Wang","given":"Y."},{"family":"Gu","given":"Y."}],"issued":{"date-parts":[["2020",5]]}}},{"id":470,"uris":["http://zotero.org/users/local/FtUECOod/items/ECB6AT7F"],"itemData":{"id":470,"type":"article-journal","abstract":"Periodontitis is characterized by periodontal pocket formation, loss of attachment, and alveolar bone resorption. Both innate and adaptive immunity are involved in the pathogenesis of this oral chronic inflammatory disease. Accumulating evidence indicates a critical role of leptin in periodontal diseases. However, the mechanism by which leptin promotes periodontitis pathogenesis remains unclear. In the present study, we observed an elevated expression of leptin in the serum of periodontitis mice compared to that in healthy controls. There was a higher extent of M1 phenotype macrophage infiltration in mice periodontitis samples than in healthy controls. A positive correlation was observed between the serum leptin levels and M1 macrophages. Treatment with leptin increased M1 macrophage polarization and decreased M2 macrophage polarization in RAW 264.7 cells. Moreover, leptin facilitated lipopolysaccharide (LPS)–induced M1 phenotype macrophage polarization in RAW 264.7 cells. In bone marrow–derived macrophages (BMDMs) generated from leptin-deficient obese ( ob/ob) mice, M1 macrophage polarization was significantly attenuated after LPS stimulation compared to the healthy controls. With regards to the molecular mechanism, we found that leptin activated the NOD-like receptor family pyrin domain containing 3 (NLRP3) inflammasome and promoted M1 polarization via the NLRP3 inflammasome in vitro. In BMDMs generated from Nlrp3\n              –/–\n              mice, M1 macrophage polarization was significantly attenuated after synchronous stimulation with leptin and LPS compared with BMDMs produced by healthy controls. The NLRP3 inhibitor MCC950 also prevented leptin-mediated M1 macrophage polarization in RAW 264.7 cells. Nlrp3\n              –/–\n              periodontitis models indicated that leptin aggravates the periodontal response to the ligature by promoting M1 macrophage polarization via the NLRP3 inflammasome. Taken together, we show that leptin promotes the progression of periodontitis via proinflammatory M1 macrophage skewing, and targeting leptin/NLRP3 signaling may be a feasible approach for treating periodontitis.","container-title":"Journal of Dental Research","DOI":"10.1177/00220345211059418","ISSN":"0022-0345, 1544-0591","issue":"6","journalAbbreviation":"J Dent Res","language":"en","page":"675-685","source":"DOI.org (Crossref)","title":"Leptin Aggravates Periodontitis by Promoting M1 Polarization via NLRP3","volume":"101","author":[{"family":"Han","given":"Y."},{"family":"Huang","given":"Y."},{"family":"Gao","given":"P."},{"family":"Yang","given":"Q."},{"family":"Jia","given":"L."},{"family":"Zheng","given":"Y."},{"family":"Li","given":"W."}],"issued":{"date-parts":[["2022",6]]}}},{"id":471,"uris":["http://zotero.org/users/local/FtUECOod/items/YTS2WPXE"],"itemData":{"id":471,"type":"article-journal","abstract":"Nuclear receptor corepressor 1 ( Ncor1) has been reported to regulate different transcription factors in different biological processes, including metabolism, inflammation, and circadian rhythms. However, the role of Ncor1 in periodontitis has not been elucidated. The aims of the present study were to investigate the role of Ncor1 in experimental periodontitis and to explore the underlying mechanisms through an experimental periodontitis model in myeloid cell–specific Ncor1-deficient mice. Myeloid cell–specific Ncor1 knockout (MNKO) mice were generated, and experimental periodontitis induced by ligation using 5-0 silk sutures was established. Ncor1 flox/flox mice were used as littermate controls (LC). Histological staining and micro–computed tomography scanning were used to evaluate osteoclastogenesis and alveolar bone resorption. Flow cytometry was conducted to observe the effect of Ncor1 on myeloid cells. RNA sequencing was used to explore the differentially targeted genes in osteoclastogenesis in the absence of Ncor1. Coimmunoprecipitation (Co-IP), chromatin immunoprecipitation (ChIP) experiments, and dual luciferase assays were performed to explore the relationship between NCoR1 and the targeted gene. Alveolar bone resorption in the MNKO mice was significantly greater than that in the LC mice after periodontitis induction and osteoclastogenesis in vitro. The percentage of CD11b+ cells, particularly CD11b+ Ly6G+ neutrophils, was substantially higher in gingival tissues in the MNKO mice than in the LC mice. Results of RNA sequencing demonstrated that CCAAT enhancer binding protein α ( Cebpα) was one of the most differentially expressed genes between the MNKO and LC groups. Mechanistically, Co-IP assays, ChIP experiments, and dual luciferase assays revealed that NCOR1 interacted with peroxisome proliferator-activated receptor gamma (PPARγ) and cooperated with HDAC3 to control the transcription of Cebpα. In conclusion, Ncor1 deficiency promoted osteoclast and neutrophil formation in mice with experimental periodontitis. It regulated the transcription of Cebpα via PPARγ to promote osteoclast differentiation.","container-title":"Journal of Dental Research","DOI":"10.1177/00220345221116927","ISSN":"0022-0345, 1544-0591","issue":"1","journalAbbreviation":"J Dent Res","language":"en","page":"72-81","source":"DOI.org (Crossref)","title":"&lt;i&gt;Ncor1&lt;/i&gt; Deficiency Promotes Osteoclastogenesis and Exacerbates Periodontitis","volume":"102","author":[{"family":"Ma","given":"X.X."},{"family":"Meng","given":"X.Q."},{"family":"Wang","given":"Y.L."},{"family":"Liu","given":"Y."},{"family":"Shi","given":"X.R."},{"family":"Shao","given":"S."},{"family":"Duan","given":"S.Z."},{"family":"Lu","given":"H.X."}],"issued":{"date-parts":[["2023",1]]}}}],"schema":"https://github.com/citation-style-language/schema/raw/master/csl-citation.json"} </w:instrText>
      </w:r>
      <w:r>
        <w:rPr>
          <w:rFonts w:ascii="Times New Roman" w:hAnsi="Times New Roman" w:cs="Times New Roman"/>
          <w:sz w:val="24"/>
          <w:szCs w:val="24"/>
        </w:rPr>
        <w:fldChar w:fldCharType="separate"/>
      </w:r>
      <w:r>
        <w:rPr>
          <w:rFonts w:ascii="Times New Roman" w:hAnsi="Times New Roman" w:cs="Times New Roman"/>
          <w:sz w:val="24"/>
          <w:szCs w:val="24"/>
        </w:rPr>
        <w:t>(4–6)</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Pr>
          <w:rFonts w:hint="eastAsia" w:ascii="Times New Roman" w:hAnsi="Times New Roman" w:cs="Times New Roman"/>
          <w:sz w:val="24"/>
          <w:szCs w:val="24"/>
        </w:rPr>
        <w:t>All animals were subjected to weight-based block randomization using a computer-generated random sequence prior to the experiment and allocated to either the control group or experimental group. Strict blinding was implemented during both the model establishment phase (silk ligation surgery) and the assessment of primary outcomes (e.g., micro-CT analysis,</w:t>
      </w:r>
      <w:r>
        <w:rPr>
          <w:rFonts w:ascii="Times New Roman" w:hAnsi="Times New Roman" w:cs="Times New Roman"/>
          <w:sz w:val="24"/>
          <w:szCs w:val="24"/>
        </w:rPr>
        <w:t xml:space="preserve"> </w:t>
      </w:r>
      <w:r>
        <w:rPr>
          <w:rFonts w:hint="eastAsia" w:ascii="Times New Roman" w:hAnsi="Times New Roman" w:cs="Times New Roman"/>
          <w:sz w:val="24"/>
          <w:szCs w:val="24"/>
        </w:rPr>
        <w:t>h</w:t>
      </w:r>
      <w:r>
        <w:rPr>
          <w:rFonts w:ascii="Times New Roman" w:hAnsi="Times New Roman" w:cs="Times New Roman"/>
          <w:sz w:val="24"/>
          <w:szCs w:val="24"/>
        </w:rPr>
        <w:t xml:space="preserve">istology, </w:t>
      </w:r>
      <w:r>
        <w:rPr>
          <w:rFonts w:hint="eastAsia" w:ascii="Times New Roman" w:hAnsi="Times New Roman" w:cs="Times New Roman"/>
          <w:sz w:val="24"/>
          <w:szCs w:val="24"/>
        </w:rPr>
        <w:t>i</w:t>
      </w:r>
      <w:r>
        <w:rPr>
          <w:rFonts w:ascii="Times New Roman" w:hAnsi="Times New Roman" w:cs="Times New Roman"/>
          <w:sz w:val="24"/>
          <w:szCs w:val="24"/>
        </w:rPr>
        <w:t>mmunohistochemistry and immunofluorescence staining</w:t>
      </w:r>
      <w:r>
        <w:rPr>
          <w:rFonts w:hint="eastAsia" w:ascii="Times New Roman" w:hAnsi="Times New Roman" w:cs="Times New Roman"/>
          <w:sz w:val="24"/>
          <w:szCs w:val="24"/>
        </w:rPr>
        <w:t>): both the surgical operator and outcome assessors were blinded to group allocation until all data collection and analysis were completed. Animals were housed in a specific pathogen-free (SPF) facility, and the experimental protocol was approved by the Animal Ethics Committee of Huazhong University of Science and Technology (Approval No.: [</w:t>
      </w:r>
      <w:r>
        <w:rPr>
          <w:rFonts w:ascii="Times New Roman" w:hAnsi="Times New Roman" w:cs="Times New Roman"/>
          <w:sz w:val="24"/>
          <w:szCs w:val="24"/>
        </w:rPr>
        <w:t>3448</w:t>
      </w:r>
      <w:r>
        <w:rPr>
          <w:rFonts w:hint="eastAsia" w:ascii="Times New Roman" w:hAnsi="Times New Roman" w:cs="Times New Roman"/>
          <w:sz w:val="24"/>
          <w:szCs w:val="24"/>
        </w:rPr>
        <w:t>]). Predefined exclusion criteria stipulated that data from any mouse in the model group whose ligature was shed before the planned observation endpoint would be excluded; in this study, all ligatures remained intact at the time of specimen collection in the model group.</w:t>
      </w:r>
    </w:p>
    <w:p w14:paraId="5E8932A9">
      <w:pPr>
        <w:spacing w:before="156" w:beforeLines="50" w:line="360" w:lineRule="auto"/>
        <w:rPr>
          <w:rFonts w:ascii="Times New Roman" w:hAnsi="Times New Roman" w:cs="Times New Roman"/>
          <w:sz w:val="24"/>
          <w:szCs w:val="24"/>
        </w:rPr>
      </w:pPr>
      <w:r>
        <w:rPr>
          <w:rFonts w:ascii="Times New Roman" w:hAnsi="Times New Roman" w:eastAsia="宋体" w:cs="Times New Roman"/>
          <w:sz w:val="24"/>
          <w:szCs w:val="24"/>
        </w:rPr>
        <w:t>A</w:t>
      </w:r>
      <w:r>
        <w:rPr>
          <w:rFonts w:hint="eastAsia" w:ascii="Times New Roman" w:hAnsi="Times New Roman" w:eastAsia="宋体" w:cs="Times New Roman"/>
          <w:sz w:val="24"/>
          <w:szCs w:val="24"/>
        </w:rPr>
        <w:t>nimals</w:t>
      </w:r>
      <w:r>
        <w:rPr>
          <w:rFonts w:ascii="Times New Roman" w:hAnsi="Times New Roman" w:eastAsia="宋体" w:cs="Times New Roman"/>
          <w:sz w:val="24"/>
          <w:szCs w:val="24"/>
        </w:rPr>
        <w:t xml:space="preserve"> were euthanized with an overdose of pentobarbital sodium when the endpoint was reached. The maxilla</w:t>
      </w:r>
      <w:r>
        <w:rPr>
          <w:rFonts w:ascii="Times New Roman" w:hAnsi="Times New Roman" w:cs="Times New Roman"/>
          <w:sz w:val="24"/>
          <w:szCs w:val="24"/>
        </w:rPr>
        <w:t xml:space="preserve"> and surrounding tissue were carefully excised and fixed for 24 h in a 4% paraformaldehyde solution.</w:t>
      </w:r>
    </w:p>
    <w:p w14:paraId="15C95562">
      <w:pPr>
        <w:spacing w:before="156" w:beforeLines="50" w:line="360" w:lineRule="auto"/>
        <w:rPr>
          <w:rFonts w:ascii="Times New Roman" w:hAnsi="Times New Roman" w:eastAsia="宋体" w:cs="Times New Roman"/>
          <w:b/>
          <w:sz w:val="24"/>
          <w:szCs w:val="24"/>
        </w:rPr>
      </w:pPr>
      <w:r>
        <w:rPr>
          <w:rFonts w:ascii="Times New Roman" w:hAnsi="Times New Roman" w:eastAsia="宋体" w:cs="Times New Roman"/>
          <w:b/>
          <w:sz w:val="24"/>
          <w:szCs w:val="24"/>
        </w:rPr>
        <w:t>Histology, Immunohistochemistry and immunofluorescence staining</w:t>
      </w:r>
    </w:p>
    <w:p w14:paraId="7A2969AB">
      <w:pPr>
        <w:spacing w:line="360" w:lineRule="auto"/>
        <w:rPr>
          <w:rFonts w:ascii="Times New Roman" w:hAnsi="Times New Roman" w:eastAsia="宋体" w:cs="Times New Roman"/>
          <w:color w:val="FF0000"/>
          <w:kern w:val="0"/>
          <w:sz w:val="24"/>
          <w:szCs w:val="24"/>
        </w:rPr>
      </w:pPr>
      <w:r>
        <w:rPr>
          <w:rFonts w:ascii="Times New Roman" w:hAnsi="Times New Roman" w:eastAsia="宋体" w:cs="Times New Roman"/>
          <w:kern w:val="0"/>
          <w:sz w:val="24"/>
          <w:szCs w:val="24"/>
        </w:rPr>
        <w:t xml:space="preserve">The maxillary samples of </w:t>
      </w:r>
      <w:r>
        <w:rPr>
          <w:rFonts w:hint="eastAsia" w:ascii="Times New Roman" w:hAnsi="Times New Roman" w:eastAsia="宋体" w:cs="Times New Roman"/>
          <w:kern w:val="0"/>
          <w:sz w:val="24"/>
          <w:szCs w:val="24"/>
        </w:rPr>
        <w:t>murine</w:t>
      </w:r>
      <w:r>
        <w:rPr>
          <w:rFonts w:ascii="Times New Roman" w:hAnsi="Times New Roman" w:eastAsia="宋体" w:cs="Times New Roman"/>
          <w:kern w:val="0"/>
          <w:sz w:val="24"/>
          <w:szCs w:val="24"/>
        </w:rPr>
        <w:t xml:space="preserve"> were fixed, decalcified, and paraffin-embedded. Paraffin-embedded sections were sequentially deparaffinized in xylene, dehydrated in ethanol and incubated in citrate buffer for 10 minutes at 90°C to unmask antigens. Hematoxylin and eosin staining was performed for histological and histomorphometric analysis. For immunohistochemistry analysis, Tissue Staining Kits (R&amp;D systems) were used to detect the antigens in the specimens according to the manufacturer’s standard procedure. The primary antibodies used was an anti-IL-1β antibody (1:100; 26048-1-AP; Proteintech) or anti-IL-10 antibody (1:100; 60269-1-Ig; Proteintech).</w:t>
      </w:r>
      <w:r>
        <w:rPr>
          <w:rFonts w:ascii="Times New Roman" w:hAnsi="Times New Roman" w:eastAsia="宋体" w:cs="Times New Roman"/>
          <w:color w:val="FF0000"/>
          <w:kern w:val="0"/>
          <w:sz w:val="24"/>
          <w:szCs w:val="24"/>
        </w:rPr>
        <w:t xml:space="preserve"> </w:t>
      </w:r>
    </w:p>
    <w:p w14:paraId="4AF15DF2">
      <w:pPr>
        <w:spacing w:before="156" w:beforeLines="50" w:line="360" w:lineRule="auto"/>
        <w:rPr>
          <w:rFonts w:ascii="Times New Roman" w:hAnsi="Times New Roman" w:eastAsia="宋体" w:cs="Times New Roman"/>
          <w:bCs/>
          <w:sz w:val="24"/>
          <w:szCs w:val="24"/>
        </w:rPr>
      </w:pPr>
      <w:bookmarkStart w:id="1" w:name="_Hlk66145911"/>
      <w:r>
        <w:rPr>
          <w:rFonts w:ascii="Times New Roman" w:hAnsi="Times New Roman" w:eastAsia="宋体" w:cs="Times New Roman"/>
          <w:bCs/>
          <w:sz w:val="24"/>
          <w:szCs w:val="24"/>
        </w:rPr>
        <w:t>For immunofluorescence, paraffin</w:t>
      </w:r>
      <w:r>
        <w:rPr>
          <w:rFonts w:ascii="Times New Roman" w:hAnsi="Times New Roman" w:eastAsia="宋体" w:cs="Times New Roman"/>
          <w:kern w:val="0"/>
          <w:sz w:val="24"/>
          <w:szCs w:val="24"/>
        </w:rPr>
        <w:t>-embedded</w:t>
      </w:r>
      <w:r>
        <w:rPr>
          <w:rFonts w:ascii="Times New Roman" w:hAnsi="Times New Roman" w:eastAsia="宋体" w:cs="Times New Roman"/>
          <w:bCs/>
          <w:sz w:val="24"/>
          <w:szCs w:val="24"/>
        </w:rPr>
        <w:t xml:space="preserve"> </w:t>
      </w:r>
      <w:r>
        <w:rPr>
          <w:rFonts w:ascii="Times New Roman" w:hAnsi="Times New Roman" w:eastAsia="宋体" w:cs="Times New Roman"/>
          <w:kern w:val="0"/>
          <w:sz w:val="24"/>
          <w:szCs w:val="24"/>
        </w:rPr>
        <w:t>sections</w:t>
      </w:r>
      <w:r>
        <w:rPr>
          <w:rFonts w:ascii="Times New Roman" w:hAnsi="Times New Roman" w:eastAsia="宋体" w:cs="Times New Roman"/>
          <w:bCs/>
          <w:sz w:val="24"/>
          <w:szCs w:val="24"/>
        </w:rPr>
        <w:t xml:space="preserve"> were blocked with 3% (w/v) bovine serum albumin (BSA) then incubated with primary antibodies and fluorescent secondary antibodies, finally counterstained with DAPI (62248, Thermo Scientific). The anti-fluorescence quencher was used to seal the sections. Primary antibodies used in the Immunofluorescence were: anti-BMAL1 (1:200, ab93806; Abcam), anti-CD68 (1:200, ab955; Abcam), anti-CD86 (1:200, 13395-1-AP</w:t>
      </w:r>
      <w:r>
        <w:rPr>
          <w:rFonts w:hint="eastAsia" w:ascii="Times New Roman" w:hAnsi="Times New Roman" w:eastAsia="宋体" w:cs="Times New Roman"/>
          <w:bCs/>
          <w:sz w:val="24"/>
          <w:szCs w:val="24"/>
        </w:rPr>
        <w:t>;</w:t>
      </w:r>
      <w:r>
        <w:rPr>
          <w:rFonts w:ascii="Times New Roman" w:hAnsi="Times New Roman" w:eastAsia="宋体" w:cs="Times New Roman"/>
          <w:bCs/>
          <w:sz w:val="24"/>
          <w:szCs w:val="24"/>
        </w:rPr>
        <w:t xml:space="preserve"> Proteintech), anti-CD206 (1:200, 18704-1-AP; Proteintech).</w:t>
      </w:r>
    </w:p>
    <w:p w14:paraId="1E25B184">
      <w:pPr>
        <w:spacing w:before="156" w:beforeLines="50" w:line="360" w:lineRule="auto"/>
        <w:rPr>
          <w:rFonts w:ascii="Times New Roman" w:hAnsi="Times New Roman" w:eastAsia="宋体" w:cs="Times New Roman"/>
          <w:b/>
          <w:sz w:val="24"/>
          <w:szCs w:val="24"/>
        </w:rPr>
      </w:pPr>
      <w:r>
        <w:rPr>
          <w:rFonts w:ascii="Times New Roman" w:hAnsi="Times New Roman" w:eastAsia="宋体" w:cs="Times New Roman"/>
          <w:b/>
          <w:sz w:val="24"/>
          <w:szCs w:val="24"/>
        </w:rPr>
        <w:t>Protein extraction and Western blotting Assay</w:t>
      </w:r>
    </w:p>
    <w:p w14:paraId="2717CA01">
      <w:pPr>
        <w:spacing w:before="156" w:beforeLines="50" w:line="360" w:lineRule="auto"/>
        <w:rPr>
          <w:rFonts w:ascii="Times New Roman" w:hAnsi="Times New Roman" w:eastAsia="宋体" w:cs="Times New Roman"/>
          <w:sz w:val="24"/>
          <w:szCs w:val="24"/>
        </w:rPr>
      </w:pPr>
      <w:r>
        <w:rPr>
          <w:rFonts w:ascii="Times New Roman" w:hAnsi="Times New Roman" w:eastAsia="宋体" w:cs="Times New Roman"/>
          <w:sz w:val="24"/>
          <w:szCs w:val="24"/>
        </w:rPr>
        <w:t>Protein was extracted with RIPA lysis buffer containing protease and phosphatase inhibitors</w:t>
      </w:r>
      <w:bookmarkStart w:id="2" w:name="_Hlk67137914"/>
      <w:r>
        <w:rPr>
          <w:rFonts w:ascii="Times New Roman" w:hAnsi="Times New Roman" w:eastAsia="宋体" w:cs="Times New Roman"/>
          <w:sz w:val="24"/>
          <w:szCs w:val="24"/>
        </w:rPr>
        <w:t xml:space="preserve"> </w:t>
      </w:r>
      <w:bookmarkStart w:id="3" w:name="_Hlk67137861"/>
      <w:r>
        <w:rPr>
          <w:rFonts w:ascii="Times New Roman" w:hAnsi="Times New Roman" w:eastAsia="宋体" w:cs="Times New Roman"/>
          <w:sz w:val="24"/>
          <w:szCs w:val="24"/>
        </w:rPr>
        <w:t>(Beyotime Biotechnology, Wuhan, China)</w:t>
      </w:r>
      <w:bookmarkEnd w:id="2"/>
      <w:bookmarkEnd w:id="3"/>
      <w:r>
        <w:rPr>
          <w:rFonts w:ascii="Times New Roman" w:hAnsi="Times New Roman" w:eastAsia="宋体" w:cs="Times New Roman"/>
          <w:sz w:val="24"/>
          <w:szCs w:val="24"/>
        </w:rPr>
        <w:t xml:space="preserve">. Protein concentrations were determined using the </w:t>
      </w:r>
      <w:bookmarkStart w:id="4" w:name="_Hlk66610848"/>
      <w:r>
        <w:rPr>
          <w:rFonts w:ascii="Times New Roman" w:hAnsi="Times New Roman" w:eastAsia="宋体" w:cs="Times New Roman"/>
          <w:sz w:val="24"/>
          <w:szCs w:val="24"/>
        </w:rPr>
        <w:t>BCA protein assay kit</w:t>
      </w:r>
      <w:bookmarkEnd w:id="4"/>
      <w:r>
        <w:rPr>
          <w:rFonts w:ascii="Times New Roman" w:hAnsi="Times New Roman" w:eastAsia="宋体" w:cs="Times New Roman"/>
          <w:sz w:val="24"/>
          <w:szCs w:val="24"/>
        </w:rPr>
        <w:t xml:space="preserve"> (Beyotime Biotechnology, Wuhan, China). An equal amount of protein from each specimen was subjected to electrophoresis on a 10% (w/v) sodium dodecyl sulfate-polyacrylamide gel and subsequently transferred onto nitrocellulose membrane. The membranes were incubated overnight with primary antibodies, including anti-IGF-1 (1:2000, ab9572; Abcam), or anti-β</w:t>
      </w:r>
      <w:r>
        <w:rPr>
          <w:rFonts w:hint="eastAsia" w:ascii="Times New Roman" w:hAnsi="Times New Roman" w:eastAsia="宋体" w:cs="Times New Roman"/>
          <w:sz w:val="24"/>
          <w:szCs w:val="24"/>
        </w:rPr>
        <w:t>-actin</w:t>
      </w:r>
      <w:r>
        <w:rPr>
          <w:rFonts w:ascii="Times New Roman" w:hAnsi="Times New Roman" w:eastAsia="宋体" w:cs="Times New Roman"/>
          <w:sz w:val="24"/>
          <w:szCs w:val="24"/>
        </w:rPr>
        <w:t xml:space="preserve"> (1:10000, 20536-1-AP; Proteintech) at 4 °C. The membranes were next incubated with biotinylated secondary antibodies </w:t>
      </w:r>
      <w:bookmarkStart w:id="5" w:name="_Hlk67137993"/>
      <w:r>
        <w:rPr>
          <w:rFonts w:ascii="Times New Roman" w:hAnsi="Times New Roman" w:eastAsia="宋体" w:cs="Times New Roman"/>
          <w:sz w:val="24"/>
          <w:szCs w:val="24"/>
        </w:rPr>
        <w:t>(Proteintech)</w:t>
      </w:r>
      <w:bookmarkEnd w:id="5"/>
      <w:r>
        <w:rPr>
          <w:rFonts w:ascii="Times New Roman" w:hAnsi="Times New Roman" w:eastAsia="宋体" w:cs="Times New Roman"/>
          <w:sz w:val="24"/>
          <w:szCs w:val="24"/>
        </w:rPr>
        <w:t>. ECL enhanced chemiluminescence substrate kit (Millipore) was used for imaging and quantitation by the Image J software.</w:t>
      </w:r>
    </w:p>
    <w:p w14:paraId="75C9B541">
      <w:pPr>
        <w:spacing w:before="156" w:beforeLines="50" w:line="360" w:lineRule="auto"/>
        <w:rPr>
          <w:rFonts w:ascii="Times New Roman" w:hAnsi="Times New Roman" w:eastAsia="宋体" w:cs="Times New Roman"/>
          <w:b/>
          <w:sz w:val="24"/>
          <w:szCs w:val="24"/>
        </w:rPr>
      </w:pPr>
      <w:r>
        <w:rPr>
          <w:rFonts w:ascii="Times New Roman" w:hAnsi="Times New Roman" w:eastAsia="宋体" w:cs="Times New Roman"/>
          <w:b/>
          <w:sz w:val="24"/>
          <w:szCs w:val="24"/>
        </w:rPr>
        <w:t>Cell immunofluorescence staining</w:t>
      </w:r>
    </w:p>
    <w:bookmarkEnd w:id="1"/>
    <w:p w14:paraId="1E2E11B9">
      <w:pPr>
        <w:spacing w:line="360" w:lineRule="auto"/>
        <w:rPr>
          <w:rFonts w:ascii="Times New Roman" w:hAnsi="Times New Roman" w:eastAsia="宋体" w:cs="Times New Roman"/>
          <w:sz w:val="24"/>
          <w:szCs w:val="24"/>
        </w:rPr>
      </w:pPr>
      <w:bookmarkStart w:id="6" w:name="_Hlk67137500"/>
      <w:r>
        <w:rPr>
          <w:rFonts w:ascii="Times New Roman" w:hAnsi="Times New Roman" w:eastAsia="宋体" w:cs="Times New Roman"/>
          <w:kern w:val="0"/>
          <w:sz w:val="24"/>
          <w:szCs w:val="24"/>
        </w:rPr>
        <w:t>Raw264.7 cells were plated at a density of 1</w:t>
      </w:r>
      <w:r>
        <w:rPr>
          <w:rFonts w:ascii="Times New Roman" w:hAnsi="Times New Roman" w:eastAsia="华文中宋" w:cs="Times New Roman"/>
          <w:kern w:val="0"/>
          <w:sz w:val="24"/>
          <w:szCs w:val="24"/>
        </w:rPr>
        <w:t>×</w:t>
      </w:r>
      <w:r>
        <w:rPr>
          <w:rFonts w:ascii="Times New Roman" w:hAnsi="Times New Roman" w:eastAsia="宋体" w:cs="Times New Roman"/>
          <w:kern w:val="0"/>
          <w:sz w:val="24"/>
          <w:szCs w:val="24"/>
        </w:rPr>
        <w:t>10</w:t>
      </w:r>
      <w:r>
        <w:rPr>
          <w:rFonts w:ascii="Times New Roman" w:hAnsi="Times New Roman" w:eastAsia="宋体" w:cs="Times New Roman"/>
          <w:kern w:val="0"/>
          <w:sz w:val="24"/>
          <w:szCs w:val="24"/>
          <w:vertAlign w:val="superscript"/>
        </w:rPr>
        <w:t>5</w:t>
      </w:r>
      <w:r>
        <w:rPr>
          <w:rFonts w:ascii="Times New Roman" w:hAnsi="Times New Roman" w:eastAsia="宋体" w:cs="Times New Roman"/>
          <w:kern w:val="0"/>
          <w:sz w:val="24"/>
          <w:szCs w:val="24"/>
        </w:rPr>
        <w:t xml:space="preserve"> cells per well in 6-well plates with cell slides</w:t>
      </w:r>
      <w:r>
        <w:rPr>
          <w:rFonts w:ascii="Times New Roman" w:hAnsi="Times New Roman" w:eastAsia="等线" w:cs="Times New Roman"/>
          <w:sz w:val="24"/>
          <w:szCs w:val="24"/>
        </w:rPr>
        <w:t xml:space="preserve">, and the cell confluent was about </w:t>
      </w:r>
      <w:r>
        <w:rPr>
          <w:rFonts w:ascii="Times New Roman" w:hAnsi="Times New Roman" w:eastAsia="宋体" w:cs="Times New Roman"/>
          <w:sz w:val="24"/>
          <w:szCs w:val="24"/>
        </w:rPr>
        <w:t>30%-50%, prior to treatment</w:t>
      </w:r>
      <w:bookmarkEnd w:id="6"/>
      <w:r>
        <w:rPr>
          <w:rFonts w:ascii="Times New Roman" w:hAnsi="Times New Roman" w:eastAsia="宋体" w:cs="Times New Roman"/>
          <w:sz w:val="24"/>
          <w:szCs w:val="24"/>
        </w:rPr>
        <w:t xml:space="preserve"> with compression. Cells were fixed and stained with antibodies of anti-INOS (1:200, 18985-1-AP; Proteintech) or anti-CD206 antibody (1:200, </w:t>
      </w:r>
      <w:r>
        <w:rPr>
          <w:rFonts w:ascii="Times New Roman" w:hAnsi="Times New Roman" w:eastAsia="宋体" w:cs="Times New Roman"/>
          <w:bCs/>
          <w:sz w:val="24"/>
          <w:szCs w:val="24"/>
        </w:rPr>
        <w:t>18704-1-AP; Proteintech</w:t>
      </w:r>
      <w:r>
        <w:rPr>
          <w:rFonts w:ascii="Times New Roman" w:hAnsi="Times New Roman" w:eastAsia="宋体" w:cs="Times New Roman"/>
          <w:sz w:val="24"/>
          <w:szCs w:val="24"/>
        </w:rPr>
        <w:t xml:space="preserve">) to detect the protein expression in </w:t>
      </w:r>
      <w:r>
        <w:rPr>
          <w:rFonts w:ascii="Times New Roman" w:hAnsi="Times New Roman" w:eastAsia="宋体" w:cs="Times New Roman"/>
          <w:kern w:val="0"/>
          <w:sz w:val="24"/>
          <w:szCs w:val="24"/>
        </w:rPr>
        <w:t>Raw264.7 cells</w:t>
      </w:r>
      <w:r>
        <w:rPr>
          <w:rFonts w:ascii="Times New Roman" w:hAnsi="Times New Roman" w:eastAsia="宋体" w:cs="Times New Roman"/>
          <w:sz w:val="24"/>
          <w:szCs w:val="24"/>
        </w:rPr>
        <w:t>. Then, the slides were incubated with fluorescein isothiocyanate-conjugated secondary antibodies (1:200, SA00013-2; Proteintech). Cell nuclei were counterstained with 4′, 6-diamidino-2-phenylindole (DAPI</w:t>
      </w:r>
      <w:bookmarkStart w:id="7" w:name="_Hlk67137565"/>
      <w:r>
        <w:rPr>
          <w:rFonts w:ascii="Times New Roman" w:hAnsi="Times New Roman" w:eastAsia="宋体" w:cs="Times New Roman"/>
          <w:sz w:val="24"/>
          <w:szCs w:val="24"/>
        </w:rPr>
        <w:t>; Beyotime Biotech., Wuhan, China</w:t>
      </w:r>
      <w:bookmarkEnd w:id="7"/>
      <w:r>
        <w:rPr>
          <w:rFonts w:ascii="Times New Roman" w:hAnsi="Times New Roman" w:eastAsia="宋体" w:cs="Times New Roman"/>
          <w:sz w:val="24"/>
          <w:szCs w:val="24"/>
        </w:rPr>
        <w:t>).</w:t>
      </w:r>
    </w:p>
    <w:p w14:paraId="00539080">
      <w:pPr>
        <w:spacing w:before="156" w:beforeLines="50" w:line="360" w:lineRule="auto"/>
        <w:rPr>
          <w:rFonts w:ascii="Times New Roman" w:hAnsi="Times New Roman" w:cs="Times New Roman"/>
          <w:b/>
          <w:bCs/>
          <w:sz w:val="24"/>
          <w:szCs w:val="24"/>
        </w:rPr>
      </w:pPr>
      <w:r>
        <w:rPr>
          <w:rFonts w:ascii="Times New Roman" w:hAnsi="Times New Roman" w:cs="Times New Roman"/>
          <w:b/>
          <w:bCs/>
          <w:sz w:val="24"/>
          <w:szCs w:val="24"/>
        </w:rPr>
        <w:t>Cell transfection</w:t>
      </w:r>
    </w:p>
    <w:p w14:paraId="6ED12265">
      <w:pPr>
        <w:spacing w:line="360" w:lineRule="auto"/>
        <w:rPr>
          <w:rFonts w:ascii="Times New Roman" w:hAnsi="Times New Roman" w:cs="Times New Roman"/>
          <w:b/>
          <w:bCs/>
          <w:sz w:val="24"/>
          <w:szCs w:val="24"/>
        </w:rPr>
      </w:pPr>
      <w:r>
        <w:rPr>
          <w:rFonts w:ascii="Times New Roman" w:hAnsi="Times New Roman" w:eastAsia="宋体" w:cs="Times New Roman"/>
          <w:kern w:val="0"/>
          <w:sz w:val="24"/>
          <w:szCs w:val="24"/>
        </w:rPr>
        <w:t xml:space="preserve">Viral packaging was purchased </w:t>
      </w:r>
      <w:bookmarkStart w:id="8" w:name="_Hlk67138036"/>
      <w:r>
        <w:rPr>
          <w:rFonts w:ascii="Times New Roman" w:hAnsi="Times New Roman" w:eastAsia="宋体" w:cs="Times New Roman"/>
          <w:kern w:val="0"/>
          <w:sz w:val="24"/>
          <w:szCs w:val="24"/>
        </w:rPr>
        <w:t>from Genechem Co., Ltd. (Shanghai, China)</w:t>
      </w:r>
      <w:bookmarkEnd w:id="8"/>
      <w:r>
        <w:rPr>
          <w:rFonts w:ascii="Times New Roman" w:hAnsi="Times New Roman" w:eastAsia="宋体" w:cs="Times New Roman"/>
          <w:kern w:val="0"/>
          <w:sz w:val="24"/>
          <w:szCs w:val="24"/>
        </w:rPr>
        <w:t>. For viral inoculation, R</w:t>
      </w:r>
      <w:r>
        <w:rPr>
          <w:rFonts w:hint="eastAsia" w:ascii="Times New Roman" w:hAnsi="Times New Roman" w:eastAsia="宋体" w:cs="Times New Roman"/>
          <w:kern w:val="0"/>
          <w:sz w:val="24"/>
          <w:szCs w:val="24"/>
        </w:rPr>
        <w:t>aw</w:t>
      </w:r>
      <w:r>
        <w:rPr>
          <w:rFonts w:ascii="Times New Roman" w:hAnsi="Times New Roman" w:eastAsia="宋体" w:cs="Times New Roman"/>
          <w:kern w:val="0"/>
          <w:sz w:val="24"/>
          <w:szCs w:val="24"/>
        </w:rPr>
        <w:t>264.7 cells were incubated with the viral supernatants (MOI = 50) in complete medium for 48-hr. Medium was changed to standard culture media 48-hr post infection. For BMAL1 overexpression, cells were infected with recombinant lentivirus particle pLV-CMV-mARNTL-Puro. For BMAL1 knockdown, cells were infected with recombinant lentivirus particles pL</w:t>
      </w:r>
      <w:r>
        <w:rPr>
          <w:rFonts w:hint="eastAsia" w:ascii="Times New Roman" w:hAnsi="Times New Roman" w:eastAsia="宋体" w:cs="Times New Roman"/>
          <w:kern w:val="0"/>
          <w:sz w:val="24"/>
          <w:szCs w:val="24"/>
        </w:rPr>
        <w:t>enti</w:t>
      </w:r>
      <w:r>
        <w:rPr>
          <w:rFonts w:ascii="Times New Roman" w:hAnsi="Times New Roman" w:eastAsia="宋体" w:cs="Times New Roman"/>
          <w:kern w:val="0"/>
          <w:sz w:val="24"/>
          <w:szCs w:val="24"/>
        </w:rPr>
        <w:t>CRISPRV2-U</w:t>
      </w:r>
      <w:r>
        <w:rPr>
          <w:rFonts w:hint="eastAsia" w:ascii="Times New Roman" w:hAnsi="Times New Roman" w:eastAsia="宋体" w:cs="Times New Roman"/>
          <w:kern w:val="0"/>
          <w:sz w:val="24"/>
          <w:szCs w:val="24"/>
        </w:rPr>
        <w:t>6-</w:t>
      </w:r>
      <w:r>
        <w:rPr>
          <w:rFonts w:ascii="Times New Roman" w:hAnsi="Times New Roman" w:eastAsia="宋体" w:cs="Times New Roman"/>
          <w:kern w:val="0"/>
          <w:sz w:val="24"/>
          <w:szCs w:val="24"/>
        </w:rPr>
        <w:t>ARNTL</w:t>
      </w:r>
      <w:r>
        <w:rPr>
          <w:rFonts w:hint="eastAsia" w:ascii="Times New Roman" w:hAnsi="Times New Roman" w:eastAsia="宋体" w:cs="Times New Roman"/>
          <w:kern w:val="0"/>
          <w:sz w:val="24"/>
          <w:szCs w:val="24"/>
        </w:rPr>
        <w:t>(m</w:t>
      </w:r>
      <w:r>
        <w:rPr>
          <w:rFonts w:ascii="Times New Roman" w:hAnsi="Times New Roman" w:eastAsia="宋体" w:cs="Times New Roman"/>
          <w:kern w:val="0"/>
          <w:sz w:val="24"/>
          <w:szCs w:val="24"/>
        </w:rPr>
        <w:t>ouse</w:t>
      </w:r>
      <w:r>
        <w:rPr>
          <w:rFonts w:hint="eastAsia" w:ascii="Times New Roman" w:hAnsi="Times New Roman" w:eastAsia="宋体" w:cs="Times New Roman"/>
          <w:kern w:val="0"/>
          <w:sz w:val="24"/>
          <w:szCs w:val="24"/>
        </w:rPr>
        <w:t>)</w:t>
      </w:r>
      <w:r>
        <w:rPr>
          <w:rFonts w:ascii="Times New Roman" w:hAnsi="Times New Roman" w:eastAsia="宋体" w:cs="Times New Roman"/>
          <w:kern w:val="0"/>
          <w:sz w:val="24"/>
          <w:szCs w:val="24"/>
        </w:rPr>
        <w:t>-sgRNA-Cas9-Puro.</w:t>
      </w:r>
    </w:p>
    <w:p w14:paraId="5BCED07B">
      <w:pPr>
        <w:spacing w:before="156" w:beforeLines="50" w:line="360" w:lineRule="auto"/>
        <w:rPr>
          <w:rFonts w:ascii="Times New Roman" w:hAnsi="Times New Roman" w:cs="Times New Roman"/>
          <w:b/>
          <w:bCs/>
          <w:sz w:val="24"/>
          <w:szCs w:val="24"/>
        </w:rPr>
      </w:pPr>
      <w:r>
        <w:rPr>
          <w:rFonts w:ascii="Times New Roman" w:hAnsi="Times New Roman" w:cs="Times New Roman"/>
          <w:b/>
          <w:bCs/>
          <w:sz w:val="24"/>
          <w:szCs w:val="24"/>
        </w:rPr>
        <w:t>Flow Cytometry</w:t>
      </w:r>
    </w:p>
    <w:p w14:paraId="59151AD6">
      <w:pPr>
        <w:spacing w:line="360" w:lineRule="auto"/>
        <w:rPr>
          <w:rFonts w:ascii="Times New Roman" w:hAnsi="Times New Roman" w:cs="Times New Roman"/>
          <w:sz w:val="24"/>
          <w:szCs w:val="24"/>
        </w:rPr>
      </w:pPr>
      <w:r>
        <w:rPr>
          <w:rFonts w:ascii="Times New Roman" w:hAnsi="Times New Roman" w:cs="Times New Roman"/>
          <w:sz w:val="24"/>
          <w:szCs w:val="24"/>
        </w:rPr>
        <w:t>After treatment, the Raw264.7 cells were washed and stained for 30 min at 4°C with CD86-PE (BioLegend) antibodies to characterize the M1 polarization of macrophages, CD206-APC (BioLegend) antibodies to characterize the M2 polarization of macrophages, Labeling was quantified using a BD Accuri C6 Flow Cytometer, and data were analyzed with the FlowJo software packages (TreeStar).</w:t>
      </w:r>
    </w:p>
    <w:p w14:paraId="65FC879A">
      <w:pPr>
        <w:spacing w:before="156" w:beforeLines="50" w:line="360" w:lineRule="auto"/>
        <w:rPr>
          <w:rFonts w:ascii="Times New Roman" w:hAnsi="Times New Roman" w:eastAsia="宋体" w:cs="Times New Roman"/>
          <w:b/>
          <w:bCs/>
          <w:sz w:val="24"/>
          <w:szCs w:val="24"/>
        </w:rPr>
      </w:pPr>
      <w:r>
        <w:rPr>
          <w:rFonts w:ascii="Times New Roman" w:hAnsi="Times New Roman" w:eastAsia="宋体" w:cs="Times New Roman"/>
          <w:b/>
          <w:bCs/>
          <w:sz w:val="24"/>
          <w:szCs w:val="24"/>
        </w:rPr>
        <w:t>Quantitative real-time PCR</w:t>
      </w:r>
    </w:p>
    <w:p w14:paraId="3C80908A">
      <w:pPr>
        <w:spacing w:after="156" w:afterLines="50" w:line="360" w:lineRule="auto"/>
        <w:rPr>
          <w:rFonts w:ascii="Times New Roman" w:hAnsi="Times New Roman" w:eastAsia="宋体" w:cs="Times New Roman"/>
          <w:sz w:val="24"/>
          <w:szCs w:val="24"/>
        </w:rPr>
      </w:pPr>
      <w:r>
        <w:rPr>
          <w:rFonts w:ascii="Times New Roman" w:hAnsi="Times New Roman" w:eastAsia="宋体" w:cs="Times New Roman"/>
          <w:sz w:val="24"/>
          <w:szCs w:val="24"/>
        </w:rPr>
        <w:t>Total RNA was isolated from cells or tissues with TRIZOL (</w:t>
      </w:r>
      <w:bookmarkStart w:id="9" w:name="_Hlk67137612"/>
      <w:r>
        <w:rPr>
          <w:rFonts w:ascii="Times New Roman" w:hAnsi="Times New Roman" w:eastAsia="宋体" w:cs="Times New Roman"/>
          <w:sz w:val="24"/>
          <w:szCs w:val="24"/>
        </w:rPr>
        <w:t>Vazyme, Nanjing, China</w:t>
      </w:r>
      <w:bookmarkEnd w:id="9"/>
      <w:r>
        <w:rPr>
          <w:rFonts w:ascii="Times New Roman" w:hAnsi="Times New Roman" w:eastAsia="宋体" w:cs="Times New Roman"/>
          <w:sz w:val="24"/>
          <w:szCs w:val="24"/>
        </w:rPr>
        <w:t>) according to the manufacturer’s instructions and was reverse-transcribed with the HiScript II Q RT SuperMix for qPCR kit (</w:t>
      </w:r>
      <w:bookmarkStart w:id="10" w:name="_Hlk67137629"/>
      <w:r>
        <w:rPr>
          <w:rFonts w:ascii="Times New Roman" w:hAnsi="Times New Roman" w:eastAsia="宋体" w:cs="Times New Roman"/>
          <w:sz w:val="24"/>
          <w:szCs w:val="24"/>
        </w:rPr>
        <w:t>Vazyme, Nanjing, China</w:t>
      </w:r>
      <w:bookmarkEnd w:id="10"/>
      <w:r>
        <w:rPr>
          <w:rFonts w:ascii="Times New Roman" w:hAnsi="Times New Roman" w:eastAsia="宋体" w:cs="Times New Roman"/>
          <w:sz w:val="24"/>
          <w:szCs w:val="24"/>
        </w:rPr>
        <w:t xml:space="preserve">) to synthesize complementary DNA (cDNA). </w:t>
      </w:r>
      <w:bookmarkStart w:id="11" w:name="_Hlk67137698"/>
      <w:r>
        <w:rPr>
          <w:rFonts w:ascii="Times New Roman" w:hAnsi="Times New Roman" w:eastAsia="宋体" w:cs="Times New Roman"/>
          <w:sz w:val="24"/>
          <w:szCs w:val="24"/>
        </w:rPr>
        <w:t>Real-time polymerase chain reaction (PCR) assays were performed using SYBR Green PCR Master Mix (Vazyme, Nanjing, China)</w:t>
      </w:r>
      <w:r>
        <w:rPr>
          <w:rFonts w:hint="eastAsia"/>
        </w:rPr>
        <w:t xml:space="preserve"> </w:t>
      </w:r>
      <w:r>
        <w:rPr>
          <w:rFonts w:ascii="Times New Roman" w:hAnsi="Times New Roman" w:cs="Times New Roman"/>
          <w:sz w:val="24"/>
          <w:szCs w:val="24"/>
        </w:rPr>
        <w:t xml:space="preserve">in </w:t>
      </w:r>
      <w:r>
        <w:rPr>
          <w:rFonts w:ascii="Times New Roman" w:hAnsi="Times New Roman" w:eastAsia="宋体" w:cs="Times New Roman"/>
          <w:sz w:val="24"/>
          <w:szCs w:val="24"/>
        </w:rPr>
        <w:t>PCR Thermocycle Instrument (Applied Biosystems).</w:t>
      </w:r>
      <w:bookmarkEnd w:id="11"/>
      <w:r>
        <w:rPr>
          <w:rFonts w:ascii="Times New Roman" w:hAnsi="Times New Roman" w:eastAsia="宋体" w:cs="Times New Roman"/>
          <w:sz w:val="24"/>
          <w:szCs w:val="24"/>
        </w:rPr>
        <w:t xml:space="preserve"> </w:t>
      </w:r>
      <w:bookmarkStart w:id="12" w:name="_Hlk67137746"/>
      <w:r>
        <w:rPr>
          <w:rFonts w:ascii="Times New Roman" w:hAnsi="Times New Roman" w:eastAsia="宋体" w:cs="Times New Roman"/>
          <w:sz w:val="24"/>
          <w:szCs w:val="24"/>
        </w:rPr>
        <w:t>The relative expression level was analyzed by the 2</w:t>
      </w:r>
      <w:r>
        <w:rPr>
          <w:rFonts w:hint="eastAsia" w:ascii="微软雅黑" w:hAnsi="微软雅黑" w:eastAsia="微软雅黑" w:cs="微软雅黑"/>
          <w:sz w:val="24"/>
          <w:szCs w:val="24"/>
          <w:vertAlign w:val="superscript"/>
        </w:rPr>
        <w:t>−</w:t>
      </w:r>
      <w:r>
        <w:rPr>
          <w:rFonts w:ascii="Times New Roman" w:hAnsi="Times New Roman" w:eastAsia="宋体" w:cs="Times New Roman"/>
          <w:sz w:val="24"/>
          <w:szCs w:val="24"/>
          <w:vertAlign w:val="superscript"/>
        </w:rPr>
        <w:t>ΔΔCt</w:t>
      </w:r>
      <w:r>
        <w:rPr>
          <w:rFonts w:ascii="Times New Roman" w:hAnsi="Times New Roman" w:eastAsia="宋体" w:cs="Times New Roman"/>
          <w:sz w:val="24"/>
          <w:szCs w:val="24"/>
        </w:rPr>
        <w:t xml:space="preserve"> method, normalized to expression of GAPDH. The primer sequences are listed below: </w:t>
      </w:r>
      <w:bookmarkEnd w:id="12"/>
    </w:p>
    <w:tbl>
      <w:tblPr>
        <w:tblStyle w:val="7"/>
        <w:tblW w:w="8474" w:type="dxa"/>
        <w:jc w:val="center"/>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701"/>
        <w:gridCol w:w="3416"/>
        <w:gridCol w:w="3357"/>
      </w:tblGrid>
      <w:tr w14:paraId="047AD93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701" w:type="dxa"/>
            <w:tcBorders>
              <w:top w:val="single" w:color="auto" w:sz="6" w:space="0"/>
              <w:bottom w:val="single" w:color="auto" w:sz="4" w:space="0"/>
            </w:tcBorders>
          </w:tcPr>
          <w:p w14:paraId="265224DD">
            <w:pPr>
              <w:jc w:val="center"/>
              <w:rPr>
                <w:rFonts w:ascii="Times New Roman" w:hAnsi="Times New Roman" w:eastAsia="宋体" w:cs="Times New Roman"/>
                <w:kern w:val="0"/>
                <w:sz w:val="21"/>
                <w:szCs w:val="21"/>
              </w:rPr>
            </w:pPr>
            <w:r>
              <w:rPr>
                <w:rFonts w:ascii="Times New Roman" w:hAnsi="Times New Roman" w:eastAsia="宋体" w:cs="Times New Roman"/>
                <w:kern w:val="0"/>
                <w:sz w:val="21"/>
                <w:szCs w:val="21"/>
              </w:rPr>
              <w:t>Gene (Human)</w:t>
            </w:r>
          </w:p>
        </w:tc>
        <w:tc>
          <w:tcPr>
            <w:tcW w:w="3416" w:type="dxa"/>
            <w:tcBorders>
              <w:top w:val="single" w:color="auto" w:sz="6" w:space="0"/>
              <w:bottom w:val="single" w:color="auto" w:sz="4" w:space="0"/>
            </w:tcBorders>
          </w:tcPr>
          <w:p w14:paraId="385D01C9">
            <w:pPr>
              <w:jc w:val="center"/>
              <w:rPr>
                <w:rFonts w:ascii="Times New Roman" w:hAnsi="Times New Roman" w:eastAsia="宋体" w:cs="Times New Roman"/>
                <w:kern w:val="0"/>
                <w:sz w:val="21"/>
                <w:szCs w:val="21"/>
              </w:rPr>
            </w:pPr>
            <w:r>
              <w:rPr>
                <w:rFonts w:ascii="Times New Roman" w:hAnsi="Times New Roman" w:eastAsia="宋体" w:cs="Times New Roman"/>
                <w:kern w:val="0"/>
                <w:sz w:val="21"/>
                <w:szCs w:val="21"/>
              </w:rPr>
              <w:t>Forward（5</w:t>
            </w:r>
            <w:r>
              <w:rPr>
                <w:rFonts w:ascii="Times New Roman" w:hAnsi="Times New Roman" w:eastAsia="宋体" w:cs="Times New Roman"/>
                <w:kern w:val="0"/>
                <w:sz w:val="21"/>
                <w:szCs w:val="21"/>
                <w:vertAlign w:val="superscript"/>
              </w:rPr>
              <w:t>，</w:t>
            </w:r>
            <w:r>
              <w:rPr>
                <w:rFonts w:ascii="Times New Roman" w:hAnsi="Times New Roman" w:eastAsia="宋体" w:cs="Times New Roman"/>
                <w:kern w:val="0"/>
                <w:sz w:val="21"/>
                <w:szCs w:val="21"/>
              </w:rPr>
              <w:t>-3</w:t>
            </w:r>
            <w:r>
              <w:rPr>
                <w:rFonts w:ascii="Times New Roman" w:hAnsi="Times New Roman" w:eastAsia="宋体" w:cs="Times New Roman"/>
                <w:kern w:val="0"/>
                <w:sz w:val="21"/>
                <w:szCs w:val="21"/>
                <w:vertAlign w:val="superscript"/>
              </w:rPr>
              <w:t>，</w:t>
            </w:r>
            <w:r>
              <w:rPr>
                <w:rFonts w:ascii="Times New Roman" w:hAnsi="Times New Roman" w:eastAsia="宋体" w:cs="Times New Roman"/>
                <w:kern w:val="0"/>
                <w:sz w:val="21"/>
                <w:szCs w:val="21"/>
              </w:rPr>
              <w:t>）</w:t>
            </w:r>
          </w:p>
        </w:tc>
        <w:tc>
          <w:tcPr>
            <w:tcW w:w="3357" w:type="dxa"/>
            <w:tcBorders>
              <w:top w:val="single" w:color="auto" w:sz="6" w:space="0"/>
              <w:bottom w:val="single" w:color="auto" w:sz="4" w:space="0"/>
            </w:tcBorders>
          </w:tcPr>
          <w:p w14:paraId="631A56A5">
            <w:pPr>
              <w:jc w:val="center"/>
              <w:rPr>
                <w:rFonts w:ascii="Times New Roman" w:hAnsi="Times New Roman" w:eastAsia="宋体" w:cs="Times New Roman"/>
                <w:kern w:val="0"/>
                <w:sz w:val="21"/>
                <w:szCs w:val="21"/>
              </w:rPr>
            </w:pPr>
            <w:r>
              <w:rPr>
                <w:rFonts w:ascii="Times New Roman" w:hAnsi="Times New Roman" w:eastAsia="宋体" w:cs="Times New Roman"/>
                <w:kern w:val="0"/>
                <w:sz w:val="21"/>
                <w:szCs w:val="21"/>
              </w:rPr>
              <w:t>Reverse（5</w:t>
            </w:r>
            <w:r>
              <w:rPr>
                <w:rFonts w:ascii="Times New Roman" w:hAnsi="Times New Roman" w:eastAsia="宋体" w:cs="Times New Roman"/>
                <w:kern w:val="0"/>
                <w:sz w:val="21"/>
                <w:szCs w:val="21"/>
                <w:vertAlign w:val="superscript"/>
              </w:rPr>
              <w:t>，</w:t>
            </w:r>
            <w:r>
              <w:rPr>
                <w:rFonts w:ascii="Times New Roman" w:hAnsi="Times New Roman" w:eastAsia="宋体" w:cs="Times New Roman"/>
                <w:kern w:val="0"/>
                <w:sz w:val="21"/>
                <w:szCs w:val="21"/>
              </w:rPr>
              <w:t>-3</w:t>
            </w:r>
            <w:r>
              <w:rPr>
                <w:rFonts w:ascii="Times New Roman" w:hAnsi="Times New Roman" w:eastAsia="宋体" w:cs="Times New Roman"/>
                <w:kern w:val="0"/>
                <w:sz w:val="21"/>
                <w:szCs w:val="21"/>
                <w:vertAlign w:val="superscript"/>
              </w:rPr>
              <w:t>，</w:t>
            </w:r>
            <w:r>
              <w:rPr>
                <w:rFonts w:ascii="Times New Roman" w:hAnsi="Times New Roman" w:eastAsia="宋体" w:cs="Times New Roman"/>
                <w:kern w:val="0"/>
                <w:sz w:val="21"/>
                <w:szCs w:val="21"/>
              </w:rPr>
              <w:t>）</w:t>
            </w:r>
          </w:p>
        </w:tc>
      </w:tr>
      <w:tr w14:paraId="2034548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701" w:type="dxa"/>
            <w:tcBorders>
              <w:top w:val="single" w:color="auto" w:sz="4" w:space="0"/>
            </w:tcBorders>
          </w:tcPr>
          <w:p w14:paraId="77EB4A86">
            <w:pPr>
              <w:jc w:val="center"/>
              <w:rPr>
                <w:rFonts w:ascii="Times New Roman" w:hAnsi="Times New Roman" w:eastAsia="宋体" w:cs="Times New Roman"/>
                <w:kern w:val="0"/>
                <w:sz w:val="21"/>
                <w:szCs w:val="21"/>
              </w:rPr>
            </w:pPr>
            <w:r>
              <w:rPr>
                <w:rFonts w:ascii="Times New Roman" w:hAnsi="Times New Roman" w:eastAsia="宋体" w:cs="Times New Roman"/>
                <w:kern w:val="0"/>
                <w:sz w:val="21"/>
                <w:szCs w:val="21"/>
              </w:rPr>
              <w:t>BMAL1</w:t>
            </w:r>
          </w:p>
        </w:tc>
        <w:tc>
          <w:tcPr>
            <w:tcW w:w="3416" w:type="dxa"/>
            <w:tcBorders>
              <w:top w:val="single" w:color="auto" w:sz="4" w:space="0"/>
            </w:tcBorders>
          </w:tcPr>
          <w:p w14:paraId="1896DE15">
            <w:pPr>
              <w:jc w:val="center"/>
              <w:rPr>
                <w:rFonts w:ascii="Times New Roman" w:hAnsi="Times New Roman" w:eastAsia="宋体" w:cs="Times New Roman"/>
                <w:kern w:val="0"/>
                <w:sz w:val="21"/>
                <w:szCs w:val="21"/>
              </w:rPr>
            </w:pPr>
            <w:r>
              <w:rPr>
                <w:rFonts w:ascii="Times New Roman" w:hAnsi="Times New Roman" w:eastAsia="宋体" w:cs="Times New Roman"/>
                <w:kern w:val="0"/>
                <w:sz w:val="21"/>
                <w:szCs w:val="21"/>
              </w:rPr>
              <w:t>GGATGTGACCGAGGGAAGAT</w:t>
            </w:r>
          </w:p>
        </w:tc>
        <w:tc>
          <w:tcPr>
            <w:tcW w:w="3357" w:type="dxa"/>
            <w:tcBorders>
              <w:top w:val="single" w:color="auto" w:sz="4" w:space="0"/>
            </w:tcBorders>
          </w:tcPr>
          <w:p w14:paraId="6ED29894">
            <w:pPr>
              <w:jc w:val="center"/>
              <w:rPr>
                <w:rFonts w:ascii="Times New Roman" w:hAnsi="Times New Roman" w:eastAsia="宋体" w:cs="Times New Roman"/>
                <w:kern w:val="0"/>
                <w:sz w:val="21"/>
                <w:szCs w:val="21"/>
              </w:rPr>
            </w:pPr>
            <w:r>
              <w:rPr>
                <w:rFonts w:ascii="Times New Roman" w:hAnsi="Times New Roman" w:eastAsia="宋体" w:cs="Times New Roman"/>
                <w:kern w:val="0"/>
                <w:sz w:val="21"/>
                <w:szCs w:val="21"/>
              </w:rPr>
              <w:t>CGTCGTGCTCCAGAACATAAT</w:t>
            </w:r>
          </w:p>
        </w:tc>
      </w:tr>
      <w:tr w14:paraId="7956F19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701" w:type="dxa"/>
          </w:tcPr>
          <w:p w14:paraId="129AEB0D">
            <w:pPr>
              <w:jc w:val="center"/>
              <w:rPr>
                <w:rFonts w:ascii="Times New Roman" w:hAnsi="Times New Roman" w:eastAsia="宋体" w:cs="Times New Roman"/>
                <w:kern w:val="0"/>
                <w:sz w:val="21"/>
                <w:szCs w:val="21"/>
              </w:rPr>
            </w:pPr>
            <w:r>
              <w:rPr>
                <w:rFonts w:ascii="Times New Roman" w:hAnsi="Times New Roman" w:eastAsia="宋体" w:cs="Times New Roman"/>
                <w:kern w:val="0"/>
                <w:sz w:val="21"/>
                <w:szCs w:val="21"/>
              </w:rPr>
              <w:t>CLOCK</w:t>
            </w:r>
          </w:p>
        </w:tc>
        <w:tc>
          <w:tcPr>
            <w:tcW w:w="3416" w:type="dxa"/>
          </w:tcPr>
          <w:p w14:paraId="5C3813CF">
            <w:pPr>
              <w:jc w:val="center"/>
              <w:rPr>
                <w:rFonts w:ascii="Times New Roman" w:hAnsi="Times New Roman" w:eastAsia="宋体" w:cs="Times New Roman"/>
                <w:kern w:val="0"/>
                <w:sz w:val="21"/>
                <w:szCs w:val="21"/>
              </w:rPr>
            </w:pPr>
            <w:r>
              <w:rPr>
                <w:rFonts w:ascii="Times New Roman" w:hAnsi="Times New Roman" w:eastAsia="宋体" w:cs="Times New Roman"/>
                <w:kern w:val="0"/>
                <w:sz w:val="21"/>
                <w:szCs w:val="21"/>
              </w:rPr>
              <w:t>AGGGCACCACCCATAATAGG</w:t>
            </w:r>
          </w:p>
        </w:tc>
        <w:tc>
          <w:tcPr>
            <w:tcW w:w="3357" w:type="dxa"/>
          </w:tcPr>
          <w:p w14:paraId="6E5CCDFA">
            <w:pPr>
              <w:jc w:val="center"/>
              <w:rPr>
                <w:rFonts w:ascii="Times New Roman" w:hAnsi="Times New Roman" w:eastAsia="宋体" w:cs="Times New Roman"/>
                <w:kern w:val="0"/>
                <w:sz w:val="21"/>
                <w:szCs w:val="21"/>
              </w:rPr>
            </w:pPr>
            <w:r>
              <w:rPr>
                <w:rFonts w:ascii="Times New Roman" w:hAnsi="Times New Roman" w:eastAsia="宋体" w:cs="Times New Roman"/>
                <w:kern w:val="0"/>
                <w:sz w:val="21"/>
                <w:szCs w:val="21"/>
              </w:rPr>
              <w:t>TTGCCCCTTAGTCAGGAACC</w:t>
            </w:r>
          </w:p>
        </w:tc>
      </w:tr>
      <w:tr w14:paraId="61B78C6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701" w:type="dxa"/>
          </w:tcPr>
          <w:p w14:paraId="2B5CFD75">
            <w:pPr>
              <w:jc w:val="center"/>
              <w:rPr>
                <w:rFonts w:ascii="Times New Roman" w:hAnsi="Times New Roman" w:eastAsia="宋体" w:cs="Times New Roman"/>
                <w:kern w:val="0"/>
                <w:sz w:val="21"/>
                <w:szCs w:val="21"/>
              </w:rPr>
            </w:pPr>
            <w:r>
              <w:rPr>
                <w:rFonts w:hint="eastAsia" w:ascii="Times New Roman" w:hAnsi="Times New Roman" w:eastAsia="宋体" w:cs="Times New Roman"/>
                <w:kern w:val="0"/>
                <w:sz w:val="21"/>
                <w:szCs w:val="21"/>
              </w:rPr>
              <w:t>G</w:t>
            </w:r>
            <w:r>
              <w:rPr>
                <w:rFonts w:ascii="Times New Roman" w:hAnsi="Times New Roman" w:eastAsia="宋体" w:cs="Times New Roman"/>
                <w:kern w:val="0"/>
                <w:sz w:val="21"/>
                <w:szCs w:val="21"/>
              </w:rPr>
              <w:t>APDH</w:t>
            </w:r>
          </w:p>
        </w:tc>
        <w:tc>
          <w:tcPr>
            <w:tcW w:w="3416" w:type="dxa"/>
          </w:tcPr>
          <w:p w14:paraId="29744640">
            <w:pPr>
              <w:jc w:val="center"/>
              <w:rPr>
                <w:rFonts w:ascii="Times New Roman" w:hAnsi="Times New Roman" w:eastAsia="宋体" w:cs="Times New Roman"/>
                <w:kern w:val="0"/>
                <w:sz w:val="21"/>
                <w:szCs w:val="21"/>
              </w:rPr>
            </w:pPr>
            <w:r>
              <w:rPr>
                <w:rFonts w:ascii="Times New Roman" w:hAnsi="Times New Roman" w:eastAsia="宋体" w:cs="Times New Roman"/>
                <w:kern w:val="0"/>
                <w:sz w:val="21"/>
                <w:szCs w:val="21"/>
              </w:rPr>
              <w:t>ATCCCATCACCATCTTCC</w:t>
            </w:r>
          </w:p>
        </w:tc>
        <w:tc>
          <w:tcPr>
            <w:tcW w:w="3357" w:type="dxa"/>
          </w:tcPr>
          <w:p w14:paraId="6CB7C96F">
            <w:pPr>
              <w:jc w:val="center"/>
              <w:rPr>
                <w:rFonts w:ascii="Times New Roman" w:hAnsi="Times New Roman" w:eastAsia="宋体" w:cs="Times New Roman"/>
                <w:kern w:val="0"/>
                <w:sz w:val="21"/>
                <w:szCs w:val="21"/>
              </w:rPr>
            </w:pPr>
            <w:r>
              <w:rPr>
                <w:rFonts w:ascii="Times New Roman" w:hAnsi="Times New Roman" w:eastAsia="宋体" w:cs="Times New Roman"/>
                <w:kern w:val="0"/>
                <w:sz w:val="21"/>
                <w:szCs w:val="21"/>
              </w:rPr>
              <w:t>ATGACCCTTTTGGCTCCC</w:t>
            </w:r>
          </w:p>
        </w:tc>
      </w:tr>
      <w:tr w14:paraId="3818C23D">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701" w:type="dxa"/>
          </w:tcPr>
          <w:p w14:paraId="177F4523">
            <w:pPr>
              <w:jc w:val="center"/>
              <w:rPr>
                <w:rFonts w:ascii="Times New Roman" w:hAnsi="Times New Roman" w:eastAsia="宋体" w:cs="Times New Roman"/>
                <w:kern w:val="0"/>
                <w:sz w:val="21"/>
                <w:szCs w:val="21"/>
              </w:rPr>
            </w:pPr>
            <w:r>
              <w:rPr>
                <w:rFonts w:ascii="Times New Roman" w:hAnsi="Times New Roman" w:eastAsia="宋体" w:cs="Times New Roman"/>
                <w:kern w:val="0"/>
                <w:sz w:val="21"/>
                <w:szCs w:val="21"/>
              </w:rPr>
              <w:t>PER1</w:t>
            </w:r>
          </w:p>
        </w:tc>
        <w:tc>
          <w:tcPr>
            <w:tcW w:w="3416" w:type="dxa"/>
          </w:tcPr>
          <w:p w14:paraId="088C1F5E">
            <w:pPr>
              <w:jc w:val="center"/>
              <w:rPr>
                <w:rFonts w:ascii="Times New Roman" w:hAnsi="Times New Roman" w:eastAsia="宋体" w:cs="Times New Roman"/>
                <w:kern w:val="0"/>
                <w:sz w:val="21"/>
                <w:szCs w:val="21"/>
              </w:rPr>
            </w:pPr>
            <w:r>
              <w:rPr>
                <w:rFonts w:ascii="Times New Roman" w:hAnsi="Times New Roman" w:eastAsia="宋体" w:cs="Times New Roman"/>
                <w:kern w:val="0"/>
                <w:sz w:val="21"/>
                <w:szCs w:val="21"/>
              </w:rPr>
              <w:t>AGCAGCAAGAGCACAAAC</w:t>
            </w:r>
          </w:p>
        </w:tc>
        <w:tc>
          <w:tcPr>
            <w:tcW w:w="3357" w:type="dxa"/>
          </w:tcPr>
          <w:p w14:paraId="029C0FDA">
            <w:pPr>
              <w:jc w:val="center"/>
              <w:rPr>
                <w:rFonts w:ascii="Times New Roman" w:hAnsi="Times New Roman" w:eastAsia="宋体" w:cs="Times New Roman"/>
                <w:kern w:val="0"/>
                <w:sz w:val="21"/>
                <w:szCs w:val="21"/>
              </w:rPr>
            </w:pPr>
            <w:r>
              <w:rPr>
                <w:rFonts w:ascii="Times New Roman" w:hAnsi="Times New Roman" w:eastAsia="宋体" w:cs="Times New Roman"/>
                <w:kern w:val="0"/>
                <w:sz w:val="21"/>
                <w:szCs w:val="21"/>
              </w:rPr>
              <w:t>GCTCCGAAATGTAGACGA</w:t>
            </w:r>
          </w:p>
        </w:tc>
      </w:tr>
      <w:tr w14:paraId="7D775E8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701" w:type="dxa"/>
          </w:tcPr>
          <w:p w14:paraId="28E05FCD">
            <w:pPr>
              <w:jc w:val="center"/>
              <w:rPr>
                <w:rFonts w:ascii="Times New Roman" w:hAnsi="Times New Roman" w:eastAsia="宋体" w:cs="Times New Roman"/>
                <w:kern w:val="0"/>
                <w:sz w:val="21"/>
                <w:szCs w:val="21"/>
              </w:rPr>
            </w:pPr>
            <w:r>
              <w:rPr>
                <w:rFonts w:ascii="Times New Roman" w:hAnsi="Times New Roman" w:eastAsia="宋体" w:cs="Times New Roman"/>
                <w:kern w:val="0"/>
                <w:sz w:val="21"/>
                <w:szCs w:val="21"/>
              </w:rPr>
              <w:t>PER2</w:t>
            </w:r>
          </w:p>
        </w:tc>
        <w:tc>
          <w:tcPr>
            <w:tcW w:w="3416" w:type="dxa"/>
          </w:tcPr>
          <w:p w14:paraId="42C80A72">
            <w:pPr>
              <w:jc w:val="center"/>
              <w:rPr>
                <w:rFonts w:ascii="Times New Roman" w:hAnsi="Times New Roman" w:eastAsia="宋体" w:cs="Times New Roman"/>
                <w:kern w:val="0"/>
                <w:sz w:val="21"/>
                <w:szCs w:val="21"/>
              </w:rPr>
            </w:pPr>
            <w:r>
              <w:rPr>
                <w:rFonts w:ascii="Times New Roman" w:hAnsi="Times New Roman" w:eastAsia="宋体" w:cs="Times New Roman"/>
                <w:kern w:val="0"/>
                <w:sz w:val="21"/>
                <w:szCs w:val="21"/>
              </w:rPr>
              <w:t>ACTATTCTCCCATTCGGTT</w:t>
            </w:r>
          </w:p>
        </w:tc>
        <w:tc>
          <w:tcPr>
            <w:tcW w:w="3357" w:type="dxa"/>
          </w:tcPr>
          <w:p w14:paraId="0F45A27D">
            <w:pPr>
              <w:jc w:val="center"/>
              <w:rPr>
                <w:rFonts w:ascii="Times New Roman" w:hAnsi="Times New Roman" w:eastAsia="宋体" w:cs="Times New Roman"/>
                <w:kern w:val="0"/>
                <w:sz w:val="21"/>
                <w:szCs w:val="21"/>
              </w:rPr>
            </w:pPr>
            <w:r>
              <w:rPr>
                <w:rFonts w:ascii="Times New Roman" w:hAnsi="Times New Roman" w:eastAsia="宋体" w:cs="Times New Roman"/>
                <w:kern w:val="0"/>
                <w:sz w:val="21"/>
                <w:szCs w:val="21"/>
              </w:rPr>
              <w:t>AGGTCTGGCTCATAAGGT</w:t>
            </w:r>
          </w:p>
        </w:tc>
      </w:tr>
      <w:tr w14:paraId="4CC3B08D">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701" w:type="dxa"/>
          </w:tcPr>
          <w:p w14:paraId="6772B8C2">
            <w:pPr>
              <w:jc w:val="center"/>
              <w:rPr>
                <w:rFonts w:ascii="Times New Roman" w:hAnsi="Times New Roman" w:eastAsia="宋体" w:cs="Times New Roman"/>
                <w:kern w:val="0"/>
                <w:sz w:val="21"/>
                <w:szCs w:val="21"/>
              </w:rPr>
            </w:pPr>
            <w:r>
              <w:rPr>
                <w:rFonts w:ascii="Times New Roman" w:hAnsi="Times New Roman" w:eastAsia="宋体" w:cs="Times New Roman"/>
                <w:kern w:val="0"/>
                <w:sz w:val="21"/>
                <w:szCs w:val="21"/>
              </w:rPr>
              <w:t>CRY1</w:t>
            </w:r>
          </w:p>
        </w:tc>
        <w:tc>
          <w:tcPr>
            <w:tcW w:w="3416" w:type="dxa"/>
          </w:tcPr>
          <w:p w14:paraId="3726E895">
            <w:pPr>
              <w:jc w:val="center"/>
              <w:rPr>
                <w:rFonts w:ascii="Times New Roman" w:hAnsi="Times New Roman" w:eastAsia="宋体" w:cs="Times New Roman"/>
                <w:kern w:val="0"/>
                <w:sz w:val="21"/>
                <w:szCs w:val="21"/>
              </w:rPr>
            </w:pPr>
            <w:r>
              <w:rPr>
                <w:rFonts w:ascii="Times New Roman" w:hAnsi="Times New Roman" w:eastAsia="宋体" w:cs="Times New Roman"/>
                <w:kern w:val="0"/>
                <w:sz w:val="21"/>
                <w:szCs w:val="21"/>
              </w:rPr>
              <w:t>AAGCACTTACTCGTTTGG</w:t>
            </w:r>
          </w:p>
        </w:tc>
        <w:tc>
          <w:tcPr>
            <w:tcW w:w="3357" w:type="dxa"/>
          </w:tcPr>
          <w:p w14:paraId="6AB56A80">
            <w:pPr>
              <w:jc w:val="center"/>
              <w:rPr>
                <w:rFonts w:ascii="Times New Roman" w:hAnsi="Times New Roman" w:eastAsia="宋体" w:cs="Times New Roman"/>
                <w:kern w:val="0"/>
                <w:sz w:val="21"/>
                <w:szCs w:val="21"/>
              </w:rPr>
            </w:pPr>
            <w:r>
              <w:rPr>
                <w:rFonts w:ascii="Times New Roman" w:hAnsi="Times New Roman" w:eastAsia="宋体" w:cs="Times New Roman"/>
                <w:kern w:val="0"/>
                <w:sz w:val="21"/>
                <w:szCs w:val="21"/>
              </w:rPr>
              <w:t>AAGCGTGGATTATTTGTT</w:t>
            </w:r>
          </w:p>
        </w:tc>
      </w:tr>
      <w:tr w14:paraId="4B6E4EE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701" w:type="dxa"/>
          </w:tcPr>
          <w:p w14:paraId="0A58FB53">
            <w:pPr>
              <w:jc w:val="center"/>
              <w:rPr>
                <w:rFonts w:ascii="Times New Roman" w:hAnsi="Times New Roman" w:eastAsia="宋体" w:cs="Times New Roman"/>
                <w:kern w:val="0"/>
                <w:sz w:val="21"/>
                <w:szCs w:val="21"/>
              </w:rPr>
            </w:pPr>
            <w:r>
              <w:rPr>
                <w:rFonts w:ascii="Times New Roman" w:hAnsi="Times New Roman" w:eastAsia="宋体" w:cs="Times New Roman"/>
                <w:kern w:val="0"/>
                <w:sz w:val="21"/>
                <w:szCs w:val="21"/>
              </w:rPr>
              <w:t>CRY2</w:t>
            </w:r>
          </w:p>
        </w:tc>
        <w:tc>
          <w:tcPr>
            <w:tcW w:w="3416" w:type="dxa"/>
          </w:tcPr>
          <w:p w14:paraId="12AE5A6C">
            <w:pPr>
              <w:jc w:val="center"/>
              <w:rPr>
                <w:rFonts w:ascii="Times New Roman" w:hAnsi="Times New Roman" w:eastAsia="宋体" w:cs="Times New Roman"/>
                <w:kern w:val="0"/>
                <w:sz w:val="21"/>
                <w:szCs w:val="21"/>
              </w:rPr>
            </w:pPr>
            <w:r>
              <w:rPr>
                <w:rFonts w:ascii="Times New Roman" w:hAnsi="Times New Roman" w:eastAsia="宋体" w:cs="Times New Roman"/>
                <w:kern w:val="0"/>
                <w:sz w:val="21"/>
                <w:szCs w:val="21"/>
              </w:rPr>
              <w:t>TGTTCCCAAGGCTGTTCA</w:t>
            </w:r>
          </w:p>
        </w:tc>
        <w:tc>
          <w:tcPr>
            <w:tcW w:w="3357" w:type="dxa"/>
          </w:tcPr>
          <w:p w14:paraId="45CFAEB6">
            <w:pPr>
              <w:jc w:val="center"/>
              <w:rPr>
                <w:rFonts w:ascii="Times New Roman" w:hAnsi="Times New Roman" w:eastAsia="宋体" w:cs="Times New Roman"/>
                <w:kern w:val="0"/>
                <w:sz w:val="21"/>
                <w:szCs w:val="21"/>
              </w:rPr>
            </w:pPr>
            <w:r>
              <w:rPr>
                <w:rFonts w:ascii="Times New Roman" w:hAnsi="Times New Roman" w:eastAsia="宋体" w:cs="Times New Roman"/>
                <w:kern w:val="0"/>
                <w:sz w:val="21"/>
                <w:szCs w:val="21"/>
              </w:rPr>
              <w:t>AGGTCTCGTCGTGGTTCT</w:t>
            </w:r>
          </w:p>
        </w:tc>
      </w:tr>
      <w:tr w14:paraId="05FD8AC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701" w:type="dxa"/>
            <w:tcBorders>
              <w:top w:val="single" w:color="auto" w:sz="6" w:space="0"/>
              <w:bottom w:val="single" w:color="auto" w:sz="4" w:space="0"/>
            </w:tcBorders>
          </w:tcPr>
          <w:p w14:paraId="7B8ED6DF">
            <w:pPr>
              <w:jc w:val="center"/>
              <w:rPr>
                <w:rFonts w:ascii="Times New Roman" w:hAnsi="Times New Roman" w:eastAsia="宋体" w:cs="Times New Roman"/>
                <w:kern w:val="0"/>
                <w:sz w:val="21"/>
                <w:szCs w:val="21"/>
              </w:rPr>
            </w:pPr>
            <w:r>
              <w:rPr>
                <w:rFonts w:ascii="Times New Roman" w:hAnsi="Times New Roman" w:eastAsia="宋体" w:cs="Times New Roman"/>
                <w:kern w:val="0"/>
                <w:sz w:val="21"/>
                <w:szCs w:val="21"/>
              </w:rPr>
              <w:t>Gene (Mouse)</w:t>
            </w:r>
          </w:p>
        </w:tc>
        <w:tc>
          <w:tcPr>
            <w:tcW w:w="3416" w:type="dxa"/>
            <w:tcBorders>
              <w:top w:val="single" w:color="auto" w:sz="6" w:space="0"/>
              <w:bottom w:val="single" w:color="auto" w:sz="4" w:space="0"/>
            </w:tcBorders>
          </w:tcPr>
          <w:p w14:paraId="31D6288A">
            <w:pPr>
              <w:jc w:val="center"/>
              <w:rPr>
                <w:rFonts w:ascii="Times New Roman" w:hAnsi="Times New Roman" w:eastAsia="宋体" w:cs="Times New Roman"/>
                <w:kern w:val="0"/>
                <w:sz w:val="21"/>
                <w:szCs w:val="21"/>
              </w:rPr>
            </w:pPr>
            <w:r>
              <w:rPr>
                <w:rFonts w:ascii="Times New Roman" w:hAnsi="Times New Roman" w:eastAsia="宋体" w:cs="Times New Roman"/>
                <w:kern w:val="0"/>
                <w:sz w:val="21"/>
                <w:szCs w:val="21"/>
              </w:rPr>
              <w:t>Forward（5</w:t>
            </w:r>
            <w:r>
              <w:rPr>
                <w:rFonts w:ascii="Times New Roman" w:hAnsi="Times New Roman" w:eastAsia="宋体" w:cs="Times New Roman"/>
                <w:kern w:val="0"/>
                <w:sz w:val="21"/>
                <w:szCs w:val="21"/>
                <w:vertAlign w:val="superscript"/>
              </w:rPr>
              <w:t>，</w:t>
            </w:r>
            <w:r>
              <w:rPr>
                <w:rFonts w:ascii="Times New Roman" w:hAnsi="Times New Roman" w:eastAsia="宋体" w:cs="Times New Roman"/>
                <w:kern w:val="0"/>
                <w:sz w:val="21"/>
                <w:szCs w:val="21"/>
              </w:rPr>
              <w:t>-3</w:t>
            </w:r>
            <w:r>
              <w:rPr>
                <w:rFonts w:ascii="Times New Roman" w:hAnsi="Times New Roman" w:eastAsia="宋体" w:cs="Times New Roman"/>
                <w:kern w:val="0"/>
                <w:sz w:val="21"/>
                <w:szCs w:val="21"/>
                <w:vertAlign w:val="superscript"/>
              </w:rPr>
              <w:t>，</w:t>
            </w:r>
            <w:r>
              <w:rPr>
                <w:rFonts w:ascii="Times New Roman" w:hAnsi="Times New Roman" w:eastAsia="宋体" w:cs="Times New Roman"/>
                <w:kern w:val="0"/>
                <w:sz w:val="21"/>
                <w:szCs w:val="21"/>
              </w:rPr>
              <w:t>）</w:t>
            </w:r>
          </w:p>
        </w:tc>
        <w:tc>
          <w:tcPr>
            <w:tcW w:w="3357" w:type="dxa"/>
            <w:tcBorders>
              <w:top w:val="single" w:color="auto" w:sz="6" w:space="0"/>
              <w:bottom w:val="single" w:color="auto" w:sz="4" w:space="0"/>
            </w:tcBorders>
          </w:tcPr>
          <w:p w14:paraId="7FDE15F6">
            <w:pPr>
              <w:jc w:val="center"/>
              <w:rPr>
                <w:rFonts w:ascii="Times New Roman" w:hAnsi="Times New Roman" w:eastAsia="宋体" w:cs="Times New Roman"/>
                <w:kern w:val="0"/>
                <w:sz w:val="21"/>
                <w:szCs w:val="21"/>
              </w:rPr>
            </w:pPr>
            <w:r>
              <w:rPr>
                <w:rFonts w:ascii="Times New Roman" w:hAnsi="Times New Roman" w:eastAsia="宋体" w:cs="Times New Roman"/>
                <w:kern w:val="0"/>
                <w:sz w:val="21"/>
                <w:szCs w:val="21"/>
              </w:rPr>
              <w:t>Reverse（5</w:t>
            </w:r>
            <w:r>
              <w:rPr>
                <w:rFonts w:ascii="Times New Roman" w:hAnsi="Times New Roman" w:eastAsia="宋体" w:cs="Times New Roman"/>
                <w:kern w:val="0"/>
                <w:sz w:val="21"/>
                <w:szCs w:val="21"/>
                <w:vertAlign w:val="superscript"/>
              </w:rPr>
              <w:t>，</w:t>
            </w:r>
            <w:r>
              <w:rPr>
                <w:rFonts w:ascii="Times New Roman" w:hAnsi="Times New Roman" w:eastAsia="宋体" w:cs="Times New Roman"/>
                <w:kern w:val="0"/>
                <w:sz w:val="21"/>
                <w:szCs w:val="21"/>
              </w:rPr>
              <w:t>-3</w:t>
            </w:r>
            <w:r>
              <w:rPr>
                <w:rFonts w:ascii="Times New Roman" w:hAnsi="Times New Roman" w:eastAsia="宋体" w:cs="Times New Roman"/>
                <w:kern w:val="0"/>
                <w:sz w:val="21"/>
                <w:szCs w:val="21"/>
                <w:vertAlign w:val="superscript"/>
              </w:rPr>
              <w:t>，</w:t>
            </w:r>
            <w:r>
              <w:rPr>
                <w:rFonts w:ascii="Times New Roman" w:hAnsi="Times New Roman" w:eastAsia="宋体" w:cs="Times New Roman"/>
                <w:kern w:val="0"/>
                <w:sz w:val="21"/>
                <w:szCs w:val="21"/>
              </w:rPr>
              <w:t>）</w:t>
            </w:r>
          </w:p>
        </w:tc>
      </w:tr>
      <w:tr w14:paraId="0C77237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701" w:type="dxa"/>
            <w:tcBorders>
              <w:top w:val="single" w:color="auto" w:sz="4" w:space="0"/>
            </w:tcBorders>
          </w:tcPr>
          <w:p w14:paraId="6AC203C7">
            <w:pPr>
              <w:jc w:val="center"/>
              <w:rPr>
                <w:rFonts w:ascii="Times New Roman" w:hAnsi="Times New Roman" w:eastAsia="宋体" w:cs="Times New Roman"/>
                <w:kern w:val="0"/>
                <w:sz w:val="21"/>
                <w:szCs w:val="21"/>
              </w:rPr>
            </w:pPr>
            <w:r>
              <w:rPr>
                <w:rFonts w:hint="eastAsia" w:ascii="Times New Roman" w:hAnsi="Times New Roman" w:eastAsia="宋体" w:cs="Times New Roman"/>
                <w:kern w:val="0"/>
                <w:sz w:val="21"/>
                <w:szCs w:val="21"/>
              </w:rPr>
              <w:t>IGF-1</w:t>
            </w:r>
          </w:p>
        </w:tc>
        <w:tc>
          <w:tcPr>
            <w:tcW w:w="3416" w:type="dxa"/>
            <w:tcBorders>
              <w:top w:val="single" w:color="auto" w:sz="4" w:space="0"/>
            </w:tcBorders>
          </w:tcPr>
          <w:p w14:paraId="3017E36D">
            <w:pPr>
              <w:jc w:val="center"/>
              <w:rPr>
                <w:rFonts w:ascii="Times New Roman" w:hAnsi="Times New Roman" w:eastAsia="宋体" w:cs="Times New Roman"/>
                <w:kern w:val="0"/>
                <w:sz w:val="21"/>
                <w:szCs w:val="21"/>
              </w:rPr>
            </w:pPr>
            <w:r>
              <w:rPr>
                <w:rFonts w:ascii="Times New Roman" w:hAnsi="Times New Roman" w:eastAsia="宋体" w:cs="Times New Roman"/>
                <w:kern w:val="0"/>
                <w:sz w:val="21"/>
                <w:szCs w:val="21"/>
              </w:rPr>
              <w:t>GGACCGAGGGGCTTTTAC</w:t>
            </w:r>
          </w:p>
        </w:tc>
        <w:tc>
          <w:tcPr>
            <w:tcW w:w="3357" w:type="dxa"/>
            <w:tcBorders>
              <w:top w:val="single" w:color="auto" w:sz="4" w:space="0"/>
            </w:tcBorders>
          </w:tcPr>
          <w:p w14:paraId="1F7CA949">
            <w:pPr>
              <w:jc w:val="center"/>
              <w:rPr>
                <w:rFonts w:ascii="Times New Roman" w:hAnsi="Times New Roman" w:eastAsia="宋体" w:cs="Times New Roman"/>
                <w:kern w:val="0"/>
                <w:sz w:val="21"/>
                <w:szCs w:val="21"/>
              </w:rPr>
            </w:pPr>
            <w:r>
              <w:rPr>
                <w:rFonts w:ascii="Times New Roman" w:hAnsi="Times New Roman" w:eastAsia="宋体" w:cs="Times New Roman"/>
                <w:kern w:val="0"/>
                <w:sz w:val="21"/>
                <w:szCs w:val="21"/>
              </w:rPr>
              <w:t>TAGAGCGGGCTGCTTTTG</w:t>
            </w:r>
          </w:p>
        </w:tc>
      </w:tr>
      <w:tr w14:paraId="5D4A392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701" w:type="dxa"/>
          </w:tcPr>
          <w:p w14:paraId="5197A2A8">
            <w:pPr>
              <w:jc w:val="center"/>
              <w:rPr>
                <w:rFonts w:ascii="Times New Roman" w:hAnsi="Times New Roman" w:eastAsia="宋体" w:cs="Times New Roman"/>
                <w:kern w:val="0"/>
                <w:sz w:val="21"/>
                <w:szCs w:val="21"/>
              </w:rPr>
            </w:pPr>
            <w:r>
              <w:rPr>
                <w:rFonts w:ascii="Times New Roman" w:hAnsi="Times New Roman" w:eastAsia="宋体" w:cs="Times New Roman"/>
                <w:kern w:val="0"/>
                <w:sz w:val="21"/>
                <w:szCs w:val="21"/>
              </w:rPr>
              <w:t>IL-6</w:t>
            </w:r>
          </w:p>
        </w:tc>
        <w:tc>
          <w:tcPr>
            <w:tcW w:w="3416" w:type="dxa"/>
          </w:tcPr>
          <w:p w14:paraId="4147E37E">
            <w:pPr>
              <w:jc w:val="center"/>
              <w:rPr>
                <w:rFonts w:ascii="Times New Roman" w:hAnsi="Times New Roman" w:eastAsia="宋体" w:cs="Times New Roman"/>
                <w:kern w:val="0"/>
                <w:sz w:val="21"/>
                <w:szCs w:val="21"/>
              </w:rPr>
            </w:pPr>
            <w:r>
              <w:rPr>
                <w:rFonts w:ascii="Times New Roman" w:hAnsi="Times New Roman" w:eastAsia="宋体" w:cs="Times New Roman"/>
                <w:kern w:val="0"/>
                <w:sz w:val="21"/>
                <w:szCs w:val="21"/>
              </w:rPr>
              <w:t>TTGGGACTGATGCTGGTGAC</w:t>
            </w:r>
          </w:p>
        </w:tc>
        <w:tc>
          <w:tcPr>
            <w:tcW w:w="3357" w:type="dxa"/>
          </w:tcPr>
          <w:p w14:paraId="7DEF3827">
            <w:pPr>
              <w:jc w:val="center"/>
              <w:rPr>
                <w:rFonts w:ascii="Times New Roman" w:hAnsi="Times New Roman" w:eastAsia="宋体" w:cs="Times New Roman"/>
                <w:kern w:val="0"/>
                <w:sz w:val="21"/>
                <w:szCs w:val="21"/>
              </w:rPr>
            </w:pPr>
            <w:r>
              <w:rPr>
                <w:rFonts w:ascii="Times New Roman" w:hAnsi="Times New Roman" w:eastAsia="宋体" w:cs="Times New Roman"/>
                <w:kern w:val="0"/>
                <w:sz w:val="21"/>
                <w:szCs w:val="21"/>
              </w:rPr>
              <w:t>GTGGTATAGACAGGTCTGTT</w:t>
            </w:r>
          </w:p>
        </w:tc>
      </w:tr>
      <w:tr w14:paraId="4E3E736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701" w:type="dxa"/>
          </w:tcPr>
          <w:p w14:paraId="037ECF0E">
            <w:pPr>
              <w:jc w:val="center"/>
              <w:rPr>
                <w:rFonts w:ascii="Times New Roman" w:hAnsi="Times New Roman" w:eastAsia="宋体" w:cs="Times New Roman"/>
                <w:kern w:val="0"/>
                <w:sz w:val="21"/>
                <w:szCs w:val="21"/>
              </w:rPr>
            </w:pPr>
            <w:r>
              <w:rPr>
                <w:rFonts w:hint="eastAsia" w:ascii="Times New Roman" w:hAnsi="Times New Roman" w:eastAsia="宋体" w:cs="Times New Roman"/>
                <w:kern w:val="0"/>
                <w:sz w:val="21"/>
                <w:szCs w:val="21"/>
              </w:rPr>
              <w:t>G</w:t>
            </w:r>
            <w:r>
              <w:rPr>
                <w:rFonts w:ascii="Times New Roman" w:hAnsi="Times New Roman" w:eastAsia="宋体" w:cs="Times New Roman"/>
                <w:kern w:val="0"/>
                <w:sz w:val="21"/>
                <w:szCs w:val="21"/>
              </w:rPr>
              <w:t>APDH</w:t>
            </w:r>
          </w:p>
        </w:tc>
        <w:tc>
          <w:tcPr>
            <w:tcW w:w="3416" w:type="dxa"/>
          </w:tcPr>
          <w:p w14:paraId="32DA0FAC">
            <w:pPr>
              <w:jc w:val="center"/>
              <w:rPr>
                <w:rFonts w:ascii="Times New Roman" w:hAnsi="Times New Roman" w:eastAsia="宋体" w:cs="Times New Roman"/>
                <w:kern w:val="0"/>
                <w:sz w:val="21"/>
                <w:szCs w:val="21"/>
              </w:rPr>
            </w:pPr>
            <w:r>
              <w:rPr>
                <w:rFonts w:ascii="Times New Roman" w:hAnsi="Times New Roman" w:eastAsia="宋体" w:cs="Times New Roman"/>
                <w:kern w:val="0"/>
                <w:sz w:val="21"/>
                <w:szCs w:val="21"/>
              </w:rPr>
              <w:t>GGTGAAGGTCGGTGTGACCG</w:t>
            </w:r>
          </w:p>
        </w:tc>
        <w:tc>
          <w:tcPr>
            <w:tcW w:w="3357" w:type="dxa"/>
          </w:tcPr>
          <w:p w14:paraId="72980D2D">
            <w:pPr>
              <w:jc w:val="center"/>
              <w:rPr>
                <w:rFonts w:ascii="Times New Roman" w:hAnsi="Times New Roman" w:eastAsia="宋体" w:cs="Times New Roman"/>
                <w:kern w:val="0"/>
                <w:sz w:val="21"/>
                <w:szCs w:val="21"/>
              </w:rPr>
            </w:pPr>
            <w:r>
              <w:rPr>
                <w:rFonts w:ascii="Times New Roman" w:hAnsi="Times New Roman" w:eastAsia="宋体" w:cs="Times New Roman"/>
                <w:kern w:val="0"/>
                <w:sz w:val="21"/>
                <w:szCs w:val="21"/>
              </w:rPr>
              <w:t>CTCGCTCCTGGAAGATGGTG</w:t>
            </w:r>
          </w:p>
        </w:tc>
      </w:tr>
      <w:tr w14:paraId="286C413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701" w:type="dxa"/>
          </w:tcPr>
          <w:p w14:paraId="6D85AF48">
            <w:pPr>
              <w:jc w:val="center"/>
              <w:rPr>
                <w:rFonts w:ascii="Times New Roman" w:hAnsi="Times New Roman" w:eastAsia="宋体" w:cs="Times New Roman"/>
                <w:kern w:val="0"/>
                <w:sz w:val="20"/>
                <w:szCs w:val="21"/>
              </w:rPr>
            </w:pPr>
            <w:r>
              <w:rPr>
                <w:rFonts w:hint="eastAsia" w:ascii="Times New Roman" w:hAnsi="Times New Roman" w:eastAsia="宋体" w:cs="Times New Roman"/>
                <w:kern w:val="0"/>
                <w:sz w:val="21"/>
                <w:szCs w:val="21"/>
              </w:rPr>
              <w:t>C</w:t>
            </w:r>
            <w:r>
              <w:rPr>
                <w:rFonts w:ascii="Times New Roman" w:hAnsi="Times New Roman" w:eastAsia="宋体" w:cs="Times New Roman"/>
                <w:kern w:val="0"/>
                <w:sz w:val="21"/>
                <w:szCs w:val="21"/>
              </w:rPr>
              <w:t>D206</w:t>
            </w:r>
          </w:p>
        </w:tc>
        <w:tc>
          <w:tcPr>
            <w:tcW w:w="3416" w:type="dxa"/>
          </w:tcPr>
          <w:p w14:paraId="3CA259B0">
            <w:pPr>
              <w:jc w:val="center"/>
              <w:rPr>
                <w:rFonts w:ascii="Times New Roman" w:hAnsi="Times New Roman" w:eastAsia="宋体" w:cs="Times New Roman"/>
                <w:kern w:val="0"/>
                <w:sz w:val="20"/>
                <w:szCs w:val="21"/>
              </w:rPr>
            </w:pPr>
            <w:r>
              <w:rPr>
                <w:rFonts w:ascii="Times New Roman" w:hAnsi="Times New Roman" w:eastAsia="宋体" w:cs="Times New Roman"/>
                <w:kern w:val="0"/>
                <w:sz w:val="21"/>
                <w:szCs w:val="21"/>
              </w:rPr>
              <w:t>ACCCAAGGGCTCTTCTAA</w:t>
            </w:r>
          </w:p>
        </w:tc>
        <w:tc>
          <w:tcPr>
            <w:tcW w:w="3357" w:type="dxa"/>
          </w:tcPr>
          <w:p w14:paraId="3B578A95">
            <w:pPr>
              <w:jc w:val="center"/>
              <w:rPr>
                <w:rFonts w:ascii="Times New Roman" w:hAnsi="Times New Roman" w:eastAsia="宋体" w:cs="Times New Roman"/>
                <w:kern w:val="0"/>
                <w:sz w:val="20"/>
                <w:szCs w:val="21"/>
              </w:rPr>
            </w:pPr>
            <w:r>
              <w:rPr>
                <w:rFonts w:ascii="Times New Roman" w:hAnsi="Times New Roman" w:eastAsia="宋体" w:cs="Times New Roman"/>
                <w:kern w:val="0"/>
                <w:sz w:val="21"/>
                <w:szCs w:val="21"/>
              </w:rPr>
              <w:t>TGGCCTCTTGAGGTATGT</w:t>
            </w:r>
          </w:p>
        </w:tc>
      </w:tr>
      <w:tr w14:paraId="26FF5E8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701" w:type="dxa"/>
          </w:tcPr>
          <w:p w14:paraId="4CDF1502">
            <w:pPr>
              <w:jc w:val="center"/>
              <w:rPr>
                <w:rFonts w:ascii="Times New Roman" w:hAnsi="Times New Roman" w:eastAsia="宋体" w:cs="Times New Roman"/>
                <w:kern w:val="0"/>
                <w:sz w:val="21"/>
                <w:szCs w:val="21"/>
              </w:rPr>
            </w:pPr>
            <w:r>
              <w:rPr>
                <w:rFonts w:hint="eastAsia" w:ascii="Times New Roman" w:hAnsi="Times New Roman" w:eastAsia="宋体" w:cs="Times New Roman"/>
                <w:kern w:val="0"/>
                <w:sz w:val="21"/>
                <w:szCs w:val="21"/>
              </w:rPr>
              <w:t>I</w:t>
            </w:r>
            <w:r>
              <w:rPr>
                <w:rFonts w:ascii="Times New Roman" w:hAnsi="Times New Roman" w:eastAsia="宋体" w:cs="Times New Roman"/>
                <w:kern w:val="0"/>
                <w:sz w:val="21"/>
                <w:szCs w:val="21"/>
              </w:rPr>
              <w:t>L-1β</w:t>
            </w:r>
          </w:p>
        </w:tc>
        <w:tc>
          <w:tcPr>
            <w:tcW w:w="3416" w:type="dxa"/>
          </w:tcPr>
          <w:p w14:paraId="2535C399">
            <w:pPr>
              <w:jc w:val="center"/>
              <w:rPr>
                <w:rFonts w:ascii="Times New Roman" w:hAnsi="Times New Roman" w:eastAsia="宋体" w:cs="Times New Roman"/>
                <w:kern w:val="0"/>
                <w:sz w:val="21"/>
                <w:szCs w:val="21"/>
              </w:rPr>
            </w:pPr>
            <w:r>
              <w:rPr>
                <w:rFonts w:ascii="Times New Roman" w:hAnsi="Times New Roman" w:eastAsia="宋体" w:cs="Times New Roman"/>
                <w:kern w:val="0"/>
                <w:sz w:val="21"/>
                <w:szCs w:val="21"/>
              </w:rPr>
              <w:t>AAGAAGAGCCCATCCTCTGTG</w:t>
            </w:r>
          </w:p>
        </w:tc>
        <w:tc>
          <w:tcPr>
            <w:tcW w:w="3357" w:type="dxa"/>
          </w:tcPr>
          <w:p w14:paraId="1A9D7E34">
            <w:pPr>
              <w:jc w:val="center"/>
              <w:rPr>
                <w:rFonts w:ascii="Times New Roman" w:hAnsi="Times New Roman" w:eastAsia="宋体" w:cs="Times New Roman"/>
                <w:kern w:val="0"/>
                <w:sz w:val="21"/>
                <w:szCs w:val="21"/>
              </w:rPr>
            </w:pPr>
            <w:r>
              <w:rPr>
                <w:rFonts w:ascii="Times New Roman" w:hAnsi="Times New Roman" w:eastAsia="宋体" w:cs="Times New Roman"/>
                <w:kern w:val="0"/>
                <w:sz w:val="21"/>
                <w:szCs w:val="21"/>
              </w:rPr>
              <w:t>TGTTCATCTCGGAGCCTGTAG</w:t>
            </w:r>
          </w:p>
        </w:tc>
      </w:tr>
      <w:tr w14:paraId="3F428D3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701" w:type="dxa"/>
          </w:tcPr>
          <w:p w14:paraId="2DD9CEB0">
            <w:pPr>
              <w:jc w:val="center"/>
              <w:rPr>
                <w:rFonts w:ascii="Times New Roman" w:hAnsi="Times New Roman" w:eastAsia="宋体" w:cs="Times New Roman"/>
                <w:kern w:val="0"/>
                <w:sz w:val="21"/>
                <w:szCs w:val="21"/>
              </w:rPr>
            </w:pPr>
            <w:r>
              <w:rPr>
                <w:rFonts w:hint="eastAsia" w:ascii="Times New Roman" w:hAnsi="Times New Roman" w:eastAsia="宋体" w:cs="Times New Roman"/>
                <w:kern w:val="0"/>
                <w:sz w:val="21"/>
                <w:szCs w:val="21"/>
              </w:rPr>
              <w:t>T</w:t>
            </w:r>
            <w:r>
              <w:rPr>
                <w:rFonts w:ascii="Times New Roman" w:hAnsi="Times New Roman" w:eastAsia="宋体" w:cs="Times New Roman"/>
                <w:kern w:val="0"/>
                <w:sz w:val="21"/>
                <w:szCs w:val="21"/>
              </w:rPr>
              <w:t>NF-α</w:t>
            </w:r>
          </w:p>
        </w:tc>
        <w:tc>
          <w:tcPr>
            <w:tcW w:w="3416" w:type="dxa"/>
          </w:tcPr>
          <w:p w14:paraId="17DAFC86">
            <w:pPr>
              <w:jc w:val="center"/>
              <w:rPr>
                <w:rFonts w:ascii="Times New Roman" w:hAnsi="Times New Roman" w:eastAsia="宋体" w:cs="Times New Roman"/>
                <w:kern w:val="0"/>
                <w:sz w:val="21"/>
                <w:szCs w:val="21"/>
              </w:rPr>
            </w:pPr>
            <w:r>
              <w:rPr>
                <w:rFonts w:ascii="Times New Roman" w:hAnsi="Times New Roman" w:eastAsia="宋体" w:cs="Times New Roman"/>
                <w:kern w:val="0"/>
                <w:sz w:val="21"/>
                <w:szCs w:val="21"/>
              </w:rPr>
              <w:t>CGTCGTAGCAAACCACCAAG</w:t>
            </w:r>
          </w:p>
        </w:tc>
        <w:tc>
          <w:tcPr>
            <w:tcW w:w="3357" w:type="dxa"/>
          </w:tcPr>
          <w:p w14:paraId="47165834">
            <w:pPr>
              <w:jc w:val="center"/>
              <w:rPr>
                <w:rFonts w:ascii="Times New Roman" w:hAnsi="Times New Roman" w:eastAsia="宋体" w:cs="Times New Roman"/>
                <w:kern w:val="0"/>
                <w:sz w:val="21"/>
                <w:szCs w:val="21"/>
              </w:rPr>
            </w:pPr>
            <w:r>
              <w:rPr>
                <w:rFonts w:ascii="Times New Roman" w:hAnsi="Times New Roman" w:eastAsia="宋体" w:cs="Times New Roman"/>
                <w:kern w:val="0"/>
                <w:sz w:val="21"/>
                <w:szCs w:val="21"/>
              </w:rPr>
              <w:t>GACAAGGTACAACCCATCGG</w:t>
            </w:r>
          </w:p>
        </w:tc>
      </w:tr>
      <w:tr w14:paraId="339D1AB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701" w:type="dxa"/>
          </w:tcPr>
          <w:p w14:paraId="77307E5F">
            <w:pPr>
              <w:jc w:val="center"/>
              <w:rPr>
                <w:rFonts w:ascii="Times New Roman" w:hAnsi="Times New Roman" w:eastAsia="宋体" w:cs="Times New Roman"/>
                <w:kern w:val="0"/>
                <w:sz w:val="21"/>
                <w:szCs w:val="21"/>
              </w:rPr>
            </w:pPr>
            <w:r>
              <w:rPr>
                <w:rFonts w:hint="eastAsia" w:ascii="Times New Roman" w:hAnsi="Times New Roman" w:eastAsia="宋体" w:cs="Times New Roman"/>
                <w:kern w:val="0"/>
                <w:sz w:val="21"/>
                <w:szCs w:val="21"/>
              </w:rPr>
              <w:t>I</w:t>
            </w:r>
            <w:r>
              <w:rPr>
                <w:rFonts w:ascii="Times New Roman" w:hAnsi="Times New Roman" w:eastAsia="宋体" w:cs="Times New Roman"/>
                <w:kern w:val="0"/>
                <w:sz w:val="21"/>
                <w:szCs w:val="21"/>
              </w:rPr>
              <w:t>NOS</w:t>
            </w:r>
          </w:p>
        </w:tc>
        <w:tc>
          <w:tcPr>
            <w:tcW w:w="3416" w:type="dxa"/>
          </w:tcPr>
          <w:p w14:paraId="1A6D0B55">
            <w:pPr>
              <w:jc w:val="center"/>
              <w:rPr>
                <w:rFonts w:ascii="Times New Roman" w:hAnsi="Times New Roman" w:eastAsia="宋体" w:cs="Times New Roman"/>
                <w:kern w:val="0"/>
                <w:sz w:val="21"/>
                <w:szCs w:val="21"/>
              </w:rPr>
            </w:pPr>
            <w:r>
              <w:rPr>
                <w:rFonts w:ascii="Times New Roman" w:hAnsi="Times New Roman" w:eastAsia="宋体" w:cs="Times New Roman"/>
                <w:kern w:val="0"/>
                <w:sz w:val="21"/>
                <w:szCs w:val="21"/>
              </w:rPr>
              <w:t>GAGCGAGTTGTGGATTGT</w:t>
            </w:r>
          </w:p>
        </w:tc>
        <w:tc>
          <w:tcPr>
            <w:tcW w:w="3357" w:type="dxa"/>
          </w:tcPr>
          <w:p w14:paraId="6458896E">
            <w:pPr>
              <w:jc w:val="center"/>
              <w:rPr>
                <w:rFonts w:ascii="Times New Roman" w:hAnsi="Times New Roman" w:eastAsia="宋体" w:cs="Times New Roman"/>
                <w:kern w:val="0"/>
                <w:sz w:val="21"/>
                <w:szCs w:val="21"/>
              </w:rPr>
            </w:pPr>
            <w:r>
              <w:rPr>
                <w:rFonts w:ascii="Times New Roman" w:hAnsi="Times New Roman" w:eastAsia="宋体" w:cs="Times New Roman"/>
                <w:kern w:val="0"/>
                <w:sz w:val="21"/>
                <w:szCs w:val="21"/>
              </w:rPr>
              <w:t>GCAGCCTCTTGTCTTTGA</w:t>
            </w:r>
          </w:p>
        </w:tc>
      </w:tr>
      <w:tr w14:paraId="6ADED3B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701" w:type="dxa"/>
            <w:tcBorders>
              <w:bottom w:val="single" w:color="auto" w:sz="6" w:space="0"/>
            </w:tcBorders>
          </w:tcPr>
          <w:p w14:paraId="2D171C46">
            <w:pPr>
              <w:jc w:val="center"/>
              <w:rPr>
                <w:rFonts w:ascii="Times New Roman" w:hAnsi="Times New Roman" w:eastAsia="宋体" w:cs="Times New Roman"/>
                <w:kern w:val="0"/>
                <w:sz w:val="21"/>
                <w:szCs w:val="21"/>
              </w:rPr>
            </w:pPr>
            <w:r>
              <w:rPr>
                <w:rFonts w:ascii="Times New Roman" w:hAnsi="Times New Roman" w:eastAsia="宋体" w:cs="Times New Roman"/>
                <w:kern w:val="0"/>
                <w:sz w:val="21"/>
                <w:szCs w:val="21"/>
              </w:rPr>
              <w:t>TGF-β</w:t>
            </w:r>
          </w:p>
        </w:tc>
        <w:tc>
          <w:tcPr>
            <w:tcW w:w="3416" w:type="dxa"/>
            <w:tcBorders>
              <w:bottom w:val="single" w:color="auto" w:sz="6" w:space="0"/>
            </w:tcBorders>
          </w:tcPr>
          <w:p w14:paraId="6AA486F0">
            <w:pPr>
              <w:jc w:val="center"/>
              <w:rPr>
                <w:rFonts w:ascii="Times New Roman" w:hAnsi="Times New Roman" w:eastAsia="宋体" w:cs="Times New Roman"/>
                <w:kern w:val="0"/>
                <w:sz w:val="21"/>
                <w:szCs w:val="21"/>
              </w:rPr>
            </w:pPr>
            <w:r>
              <w:rPr>
                <w:rFonts w:ascii="Times New Roman" w:hAnsi="Times New Roman" w:eastAsia="宋体" w:cs="Times New Roman"/>
                <w:kern w:val="0"/>
                <w:sz w:val="21"/>
                <w:szCs w:val="21"/>
              </w:rPr>
              <w:t>CGAAGCGGACTACTATGC</w:t>
            </w:r>
          </w:p>
        </w:tc>
        <w:tc>
          <w:tcPr>
            <w:tcW w:w="3357" w:type="dxa"/>
            <w:tcBorders>
              <w:bottom w:val="single" w:color="auto" w:sz="6" w:space="0"/>
            </w:tcBorders>
          </w:tcPr>
          <w:p w14:paraId="44D99967">
            <w:pPr>
              <w:jc w:val="center"/>
              <w:rPr>
                <w:rFonts w:ascii="Times New Roman" w:hAnsi="Times New Roman" w:eastAsia="宋体" w:cs="Times New Roman"/>
                <w:kern w:val="0"/>
                <w:sz w:val="21"/>
                <w:szCs w:val="21"/>
              </w:rPr>
            </w:pPr>
            <w:r>
              <w:rPr>
                <w:rFonts w:ascii="Times New Roman" w:hAnsi="Times New Roman" w:eastAsia="宋体" w:cs="Times New Roman"/>
                <w:kern w:val="0"/>
                <w:sz w:val="21"/>
                <w:szCs w:val="21"/>
              </w:rPr>
              <w:t>TGTGAGATGTCTTTGGTTTT</w:t>
            </w:r>
          </w:p>
        </w:tc>
      </w:tr>
    </w:tbl>
    <w:p w14:paraId="6AFDC400">
      <w:pPr>
        <w:spacing w:before="156" w:beforeLines="50" w:line="360" w:lineRule="auto"/>
        <w:rPr>
          <w:rFonts w:ascii="Times New Roman" w:hAnsi="Times New Roman" w:eastAsia="宋体" w:cs="Times New Roman"/>
          <w:b/>
          <w:sz w:val="24"/>
          <w:szCs w:val="24"/>
        </w:rPr>
      </w:pPr>
      <w:r>
        <w:rPr>
          <w:rFonts w:ascii="Times New Roman" w:hAnsi="Times New Roman" w:eastAsia="宋体" w:cs="Times New Roman"/>
          <w:b/>
          <w:iCs/>
          <w:sz w:val="24"/>
          <w:szCs w:val="24"/>
        </w:rPr>
        <w:t>Chromatin immunoprecipitation assay</w:t>
      </w:r>
    </w:p>
    <w:p w14:paraId="245520F3">
      <w:pPr>
        <w:spacing w:line="360" w:lineRule="auto"/>
        <w:rPr>
          <w:rFonts w:ascii="Times New Roman" w:hAnsi="Times New Roman" w:eastAsia="宋体" w:cs="Times New Roman"/>
          <w:sz w:val="24"/>
          <w:szCs w:val="24"/>
        </w:rPr>
      </w:pPr>
      <w:r>
        <w:rPr>
          <w:rFonts w:ascii="Times New Roman" w:hAnsi="Times New Roman" w:eastAsia="宋体" w:cs="Times New Roman"/>
          <w:sz w:val="24"/>
          <w:szCs w:val="24"/>
        </w:rPr>
        <w:t xml:space="preserve">Chromatin immunoprecipitation assays were performed using Chromatin Immunoprecipitation Kit (Millipore) according to the procedures provided by the manufacturer. Chromatin solutions were precipitated using normal rabbit IgG as negative control, anti-BMAL1 </w:t>
      </w:r>
      <w:r>
        <w:rPr>
          <w:rFonts w:ascii="Times New Roman" w:hAnsi="Times New Roman" w:eastAsia="宋体" w:cs="Times New Roman"/>
          <w:bCs/>
          <w:sz w:val="24"/>
          <w:szCs w:val="24"/>
        </w:rPr>
        <w:t>(1:200, ab93806; Abcam</w:t>
      </w:r>
      <w:r>
        <w:rPr>
          <w:rFonts w:ascii="Times New Roman" w:hAnsi="Times New Roman" w:eastAsia="宋体" w:cs="Times New Roman"/>
          <w:sz w:val="24"/>
          <w:szCs w:val="24"/>
        </w:rPr>
        <w:t xml:space="preserve">) at 4 ℃ overnight. Precipitates were detected by real-time quantitative polymerase chain reaction (qPCR). The primer sequences used for detecting BMAL1 binding to the </w:t>
      </w:r>
      <w:r>
        <w:rPr>
          <w:rFonts w:ascii="Times New Roman" w:hAnsi="Times New Roman" w:eastAsia="宋体" w:cs="Times New Roman"/>
          <w:i/>
          <w:iCs/>
          <w:sz w:val="24"/>
          <w:szCs w:val="24"/>
        </w:rPr>
        <w:t xml:space="preserve">IGF-1 </w:t>
      </w:r>
      <w:r>
        <w:rPr>
          <w:rFonts w:ascii="Times New Roman" w:hAnsi="Times New Roman" w:eastAsia="宋体" w:cs="Times New Roman"/>
          <w:sz w:val="24"/>
          <w:szCs w:val="24"/>
        </w:rPr>
        <w:t xml:space="preserve">promoter region are shown below: </w:t>
      </w:r>
    </w:p>
    <w:p w14:paraId="70DDC1F2">
      <w:pPr>
        <w:kinsoku w:val="0"/>
        <w:wordWrap w:val="0"/>
        <w:spacing w:line="360" w:lineRule="auto"/>
        <w:rPr>
          <w:rFonts w:ascii="Times New Roman" w:hAnsi="Times New Roman" w:eastAsia="宋体" w:cs="Times New Roman"/>
          <w:sz w:val="24"/>
          <w:szCs w:val="24"/>
        </w:rPr>
      </w:pPr>
      <w:r>
        <w:rPr>
          <w:rFonts w:ascii="Times New Roman" w:hAnsi="Times New Roman" w:eastAsia="宋体" w:cs="Times New Roman"/>
          <w:sz w:val="24"/>
          <w:szCs w:val="24"/>
        </w:rPr>
        <w:t>5’-GATTCGCTGTGTTGGCACTGATG-3’</w:t>
      </w:r>
      <w:r>
        <w:rPr>
          <w:rFonts w:hint="eastAsia"/>
        </w:rPr>
        <w:t xml:space="preserve"> </w:t>
      </w:r>
      <w:r>
        <w:rPr>
          <w:rFonts w:ascii="Times New Roman" w:hAnsi="Times New Roman" w:cs="Times New Roman"/>
          <w:sz w:val="24"/>
          <w:szCs w:val="24"/>
        </w:rPr>
        <w:t>(</w:t>
      </w:r>
      <w:r>
        <w:rPr>
          <w:rFonts w:ascii="Times New Roman" w:hAnsi="Times New Roman" w:eastAsia="宋体" w:cs="Times New Roman"/>
          <w:sz w:val="24"/>
          <w:szCs w:val="24"/>
        </w:rPr>
        <w:t>forward) / 5’-CAGCACGGCACAGCATAACTAT-3’ (reverse)</w:t>
      </w:r>
      <w:r>
        <w:rPr>
          <w:rFonts w:hint="eastAsia" w:ascii="Times New Roman" w:hAnsi="Times New Roman" w:eastAsia="宋体" w:cs="Times New Roman"/>
          <w:sz w:val="24"/>
          <w:szCs w:val="24"/>
        </w:rPr>
        <w:t>.</w:t>
      </w:r>
    </w:p>
    <w:p w14:paraId="67D83640">
      <w:pPr>
        <w:spacing w:before="156" w:beforeLines="50" w:line="360" w:lineRule="auto"/>
        <w:rPr>
          <w:rFonts w:ascii="Times New Roman" w:hAnsi="Times New Roman" w:eastAsia="宋体" w:cs="Times New Roman"/>
          <w:b/>
          <w:sz w:val="24"/>
          <w:szCs w:val="24"/>
        </w:rPr>
      </w:pPr>
      <w:r>
        <w:rPr>
          <w:rFonts w:ascii="Times New Roman" w:hAnsi="Times New Roman" w:eastAsia="宋体" w:cs="Times New Roman"/>
          <w:b/>
          <w:iCs/>
          <w:sz w:val="24"/>
          <w:szCs w:val="24"/>
        </w:rPr>
        <w:t>Luciferase reporter assay</w:t>
      </w:r>
    </w:p>
    <w:p w14:paraId="51A6E9F3">
      <w:pPr>
        <w:spacing w:line="360" w:lineRule="auto"/>
        <w:rPr>
          <w:rFonts w:ascii="Times New Roman" w:hAnsi="Times New Roman" w:eastAsia="宋体" w:cs="Times New Roman"/>
          <w:kern w:val="0"/>
          <w:sz w:val="24"/>
          <w:szCs w:val="24"/>
        </w:rPr>
      </w:pPr>
      <w:r>
        <w:rPr>
          <w:rFonts w:ascii="Times New Roman" w:hAnsi="Times New Roman" w:eastAsia="宋体" w:cs="Times New Roman"/>
          <w:kern w:val="0"/>
          <w:sz w:val="24"/>
          <w:szCs w:val="24"/>
        </w:rPr>
        <w:t xml:space="preserve">293T cells were co-transfected with firefly and pRL-SV40 renilla luciferase reporter vectors (Promega) using lipofectamine 3000 (Thermo Fisher Scientific). Cells extracts were harvested post 48-hr transfection. The luminescence intensity induced by firefly and renilla luciferase was detected by the dual luciferase reporter assay system (Promega). For </w:t>
      </w:r>
      <w:r>
        <w:rPr>
          <w:rFonts w:ascii="Times New Roman" w:hAnsi="Times New Roman" w:eastAsia="宋体" w:cs="Times New Roman"/>
          <w:i/>
          <w:iCs/>
          <w:kern w:val="0"/>
          <w:sz w:val="24"/>
          <w:szCs w:val="24"/>
        </w:rPr>
        <w:t xml:space="preserve">IGF-1 </w:t>
      </w:r>
      <w:r>
        <w:rPr>
          <w:rFonts w:ascii="Times New Roman" w:hAnsi="Times New Roman" w:eastAsia="宋体" w:cs="Times New Roman"/>
          <w:kern w:val="0"/>
          <w:sz w:val="24"/>
          <w:szCs w:val="24"/>
        </w:rPr>
        <w:t>promoter activity, the luciferase signal was standardized according to the firefly/renilla ratio.</w:t>
      </w:r>
    </w:p>
    <w:p w14:paraId="4FCDF02E">
      <w:pPr>
        <w:spacing w:before="156" w:beforeLines="50" w:line="360" w:lineRule="auto"/>
        <w:rPr>
          <w:rFonts w:ascii="Times New Roman" w:hAnsi="Times New Roman" w:eastAsia="宋体" w:cs="Times New Roman"/>
          <w:b/>
          <w:bCs/>
          <w:i/>
          <w:iCs/>
          <w:sz w:val="24"/>
          <w:szCs w:val="24"/>
        </w:rPr>
      </w:pPr>
      <w:bookmarkStart w:id="13" w:name="_GoBack"/>
      <w:bookmarkEnd w:id="13"/>
      <w:r>
        <w:rPr>
          <w:rFonts w:ascii="Times New Roman" w:hAnsi="Times New Roman" w:eastAsia="宋体" w:cs="Times New Roman"/>
          <w:b/>
          <w:bCs/>
          <w:i/>
          <w:iCs/>
          <w:sz w:val="24"/>
          <w:szCs w:val="24"/>
        </w:rPr>
        <w:t>Supplementary Figures and Figure Legends</w:t>
      </w:r>
    </w:p>
    <w:p w14:paraId="633E71EB">
      <w:pPr>
        <w:spacing w:before="156" w:beforeLines="50" w:line="360" w:lineRule="auto"/>
        <w:jc w:val="center"/>
        <w:rPr>
          <w:rFonts w:ascii="Times New Roman" w:hAnsi="Times New Roman" w:eastAsia="宋体" w:cs="Times New Roman"/>
          <w:b/>
          <w:bCs/>
          <w:sz w:val="24"/>
          <w:szCs w:val="24"/>
        </w:rPr>
      </w:pPr>
      <w:r>
        <w:rPr>
          <w:rFonts w:ascii="Times New Roman" w:hAnsi="Times New Roman" w:eastAsia="宋体" w:cs="Times New Roman"/>
          <w:b/>
          <w:bCs/>
          <w:sz w:val="24"/>
          <w:szCs w:val="24"/>
        </w:rPr>
        <w:drawing>
          <wp:inline distT="0" distB="0" distL="0" distR="0">
            <wp:extent cx="3701415" cy="1626235"/>
            <wp:effectExtent l="0" t="0" r="0" b="0"/>
            <wp:docPr id="114954060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9540606" name="图片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a:xfrm>
                      <a:off x="0" y="0"/>
                      <a:ext cx="3764355" cy="1654288"/>
                    </a:xfrm>
                    <a:prstGeom prst="rect">
                      <a:avLst/>
                    </a:prstGeom>
                    <a:noFill/>
                  </pic:spPr>
                </pic:pic>
              </a:graphicData>
            </a:graphic>
          </wp:inline>
        </w:drawing>
      </w:r>
    </w:p>
    <w:p w14:paraId="76E0BDE6">
      <w:pPr>
        <w:spacing w:line="240" w:lineRule="exact"/>
        <w:jc w:val="left"/>
        <w:rPr>
          <w:rFonts w:ascii="Times New Roman" w:hAnsi="Times New Roman" w:eastAsia="宋体" w:cs="Times New Roman"/>
          <w:b/>
          <w:bCs/>
          <w:sz w:val="24"/>
          <w:szCs w:val="24"/>
        </w:rPr>
      </w:pPr>
      <w:r>
        <w:rPr>
          <w:rFonts w:ascii="Times New Roman" w:hAnsi="Times New Roman" w:eastAsia="宋体" w:cs="Times New Roman"/>
          <w:sz w:val="24"/>
          <w:szCs w:val="24"/>
        </w:rPr>
        <w:t xml:space="preserve">Appendix Figure 1. (A) </w:t>
      </w:r>
      <w:r>
        <w:rPr>
          <w:rFonts w:ascii="Times New Roman" w:hAnsi="Times New Roman" w:cs="Times New Roman"/>
          <w:sz w:val="24"/>
          <w:szCs w:val="24"/>
        </w:rPr>
        <w:t>Construction of the model for circadian rhythm disorder</w:t>
      </w:r>
      <w:r>
        <w:rPr>
          <w:rFonts w:hint="eastAsia" w:ascii="Times New Roman" w:hAnsi="Times New Roman" w:eastAsia="宋体" w:cs="Times New Roman"/>
          <w:b/>
          <w:bCs/>
          <w:sz w:val="24"/>
          <w:szCs w:val="24"/>
        </w:rPr>
        <w:t>.</w:t>
      </w:r>
    </w:p>
    <w:p w14:paraId="1503D50F">
      <w:pPr>
        <w:spacing w:line="360" w:lineRule="auto"/>
        <w:jc w:val="center"/>
        <w:rPr>
          <w:rFonts w:ascii="Times New Roman" w:hAnsi="Times New Roman" w:eastAsia="宋体" w:cs="Times New Roman"/>
          <w:sz w:val="24"/>
          <w:szCs w:val="24"/>
        </w:rPr>
      </w:pPr>
      <w:r>
        <w:rPr>
          <w:rFonts w:ascii="Times New Roman" w:hAnsi="Times New Roman" w:eastAsia="宋体" w:cs="Times New Roman"/>
          <w:sz w:val="24"/>
          <w:szCs w:val="24"/>
        </w:rPr>
        <w:drawing>
          <wp:inline distT="0" distB="0" distL="0" distR="0">
            <wp:extent cx="3267710" cy="1468120"/>
            <wp:effectExtent l="0" t="0" r="0" b="0"/>
            <wp:docPr id="183239481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2394819" name="图片 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3289366" cy="1477916"/>
                    </a:xfrm>
                    <a:prstGeom prst="rect">
                      <a:avLst/>
                    </a:prstGeom>
                    <a:noFill/>
                  </pic:spPr>
                </pic:pic>
              </a:graphicData>
            </a:graphic>
          </wp:inline>
        </w:drawing>
      </w:r>
    </w:p>
    <w:p w14:paraId="6764547D">
      <w:pPr>
        <w:spacing w:line="240" w:lineRule="exact"/>
        <w:jc w:val="left"/>
        <w:rPr>
          <w:rFonts w:ascii="Times New Roman" w:hAnsi="Times New Roman" w:eastAsia="宋体" w:cs="Times New Roman"/>
          <w:b/>
          <w:bCs/>
          <w:sz w:val="24"/>
          <w:szCs w:val="24"/>
        </w:rPr>
      </w:pPr>
      <w:r>
        <w:rPr>
          <w:rFonts w:ascii="Times New Roman" w:hAnsi="Times New Roman" w:eastAsia="宋体" w:cs="Times New Roman"/>
          <w:sz w:val="24"/>
          <w:szCs w:val="24"/>
        </w:rPr>
        <w:t xml:space="preserve">Appendix Figure 2. (A) </w:t>
      </w:r>
      <w:r>
        <w:rPr>
          <w:rFonts w:ascii="Times New Roman" w:hAnsi="Times New Roman" w:cs="Times New Roman"/>
          <w:sz w:val="24"/>
          <w:szCs w:val="24"/>
        </w:rPr>
        <w:t xml:space="preserve">Genotype identification of </w:t>
      </w:r>
      <w:r>
        <w:rPr>
          <w:rFonts w:ascii="Times New Roman" w:hAnsi="Times New Roman" w:cs="Times New Roman"/>
          <w:i/>
          <w:iCs/>
          <w:sz w:val="24"/>
          <w:szCs w:val="24"/>
        </w:rPr>
        <w:t>Bmal1</w:t>
      </w:r>
      <w:r>
        <w:rPr>
          <w:rFonts w:ascii="Times New Roman" w:hAnsi="Times New Roman" w:cs="Times New Roman"/>
          <w:sz w:val="24"/>
          <w:szCs w:val="24"/>
          <w:vertAlign w:val="superscript"/>
        </w:rPr>
        <w:t xml:space="preserve">-/- </w:t>
      </w:r>
      <w:r>
        <w:rPr>
          <w:rFonts w:ascii="Times New Roman" w:hAnsi="Times New Roman" w:cs="Times New Roman"/>
          <w:sz w:val="24"/>
          <w:szCs w:val="24"/>
        </w:rPr>
        <w:t>rats.</w:t>
      </w:r>
    </w:p>
    <w:p w14:paraId="489206B2">
      <w:pPr>
        <w:spacing w:before="156" w:beforeLines="50" w:line="360" w:lineRule="auto"/>
        <w:jc w:val="center"/>
        <w:rPr>
          <w:rFonts w:ascii="Times New Roman" w:hAnsi="Times New Roman" w:eastAsia="宋体" w:cs="Times New Roman"/>
          <w:b/>
          <w:bCs/>
          <w:sz w:val="24"/>
          <w:szCs w:val="24"/>
        </w:rPr>
      </w:pPr>
      <w:r>
        <w:rPr>
          <w:rFonts w:ascii="Times New Roman" w:hAnsi="Times New Roman" w:eastAsia="宋体" w:cs="Times New Roman"/>
          <w:b/>
          <w:bCs/>
          <w:sz w:val="24"/>
          <w:szCs w:val="24"/>
        </w:rPr>
        <w:drawing>
          <wp:inline distT="0" distB="0" distL="0" distR="0">
            <wp:extent cx="3286125" cy="3633470"/>
            <wp:effectExtent l="0" t="0" r="9525" b="5080"/>
            <wp:docPr id="652342148"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2342148" name="图片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3286125" cy="3633470"/>
                    </a:xfrm>
                    <a:prstGeom prst="rect">
                      <a:avLst/>
                    </a:prstGeom>
                    <a:noFill/>
                  </pic:spPr>
                </pic:pic>
              </a:graphicData>
            </a:graphic>
          </wp:inline>
        </w:drawing>
      </w:r>
    </w:p>
    <w:p w14:paraId="3A775A88">
      <w:pPr>
        <w:jc w:val="left"/>
        <w:rPr>
          <w:rFonts w:ascii="Times New Roman" w:hAnsi="Times New Roman" w:cs="Times New Roman"/>
          <w:sz w:val="24"/>
          <w:szCs w:val="24"/>
        </w:rPr>
      </w:pPr>
      <w:r>
        <w:rPr>
          <w:rFonts w:ascii="Times New Roman" w:hAnsi="Times New Roman" w:eastAsia="宋体" w:cs="Times New Roman"/>
          <w:sz w:val="24"/>
          <w:szCs w:val="24"/>
        </w:rPr>
        <w:t xml:space="preserve">Appendix Figure 3. (A) </w:t>
      </w:r>
      <w:r>
        <w:rPr>
          <w:rFonts w:ascii="Times New Roman" w:hAnsi="Times New Roman" w:cs="Times New Roman"/>
          <w:sz w:val="24"/>
          <w:szCs w:val="24"/>
        </w:rPr>
        <w:t>Heat map of protein chip in periodontal tissue of Bmal 1</w:t>
      </w:r>
      <w:r>
        <w:rPr>
          <w:rFonts w:ascii="Times New Roman" w:hAnsi="Times New Roman" w:cs="Times New Roman"/>
          <w:sz w:val="24"/>
          <w:szCs w:val="24"/>
          <w:vertAlign w:val="superscript"/>
        </w:rPr>
        <w:t>-/-</w:t>
      </w:r>
      <w:r>
        <w:rPr>
          <w:rFonts w:ascii="Times New Roman" w:hAnsi="Times New Roman" w:cs="Times New Roman"/>
          <w:sz w:val="24"/>
          <w:szCs w:val="24"/>
        </w:rPr>
        <w:t xml:space="preserve"> mice aged 8-10 weeks (n=9)</w:t>
      </w:r>
    </w:p>
    <w:p w14:paraId="71F51BBF">
      <w:pPr>
        <w:jc w:val="center"/>
        <w:rPr>
          <w:rFonts w:ascii="Times New Roman" w:hAnsi="Times New Roman" w:eastAsia="宋体" w:cs="Times New Roman"/>
          <w:b/>
          <w:bCs/>
          <w:sz w:val="24"/>
          <w:szCs w:val="24"/>
        </w:rPr>
      </w:pPr>
      <w:r>
        <w:rPr>
          <w:rFonts w:ascii="Times New Roman" w:hAnsi="Times New Roman" w:eastAsia="宋体" w:cs="Times New Roman"/>
          <w:b/>
          <w:bCs/>
          <w:sz w:val="24"/>
          <w:szCs w:val="24"/>
        </w:rPr>
        <w:drawing>
          <wp:inline distT="0" distB="0" distL="0" distR="0">
            <wp:extent cx="1858645" cy="1958975"/>
            <wp:effectExtent l="0" t="0" r="0" b="3175"/>
            <wp:docPr id="2129623348"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9623348" name="图片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861918" cy="1961928"/>
                    </a:xfrm>
                    <a:prstGeom prst="rect">
                      <a:avLst/>
                    </a:prstGeom>
                    <a:noFill/>
                  </pic:spPr>
                </pic:pic>
              </a:graphicData>
            </a:graphic>
          </wp:inline>
        </w:drawing>
      </w:r>
    </w:p>
    <w:p w14:paraId="42E792A4">
      <w:pPr>
        <w:jc w:val="left"/>
        <w:rPr>
          <w:rFonts w:ascii="Times New Roman" w:hAnsi="Times New Roman" w:eastAsia="宋体" w:cs="Times New Roman"/>
          <w:b/>
          <w:bCs/>
          <w:sz w:val="24"/>
          <w:szCs w:val="24"/>
        </w:rPr>
      </w:pPr>
      <w:r>
        <w:rPr>
          <w:rFonts w:ascii="Times New Roman" w:hAnsi="Times New Roman" w:eastAsia="宋体" w:cs="Times New Roman"/>
          <w:sz w:val="24"/>
          <w:szCs w:val="24"/>
        </w:rPr>
        <w:t xml:space="preserve">Appendix Figure 4. (A) </w:t>
      </w:r>
      <w:r>
        <w:rPr>
          <w:rFonts w:ascii="Times New Roman" w:hAnsi="Times New Roman" w:cs="Times New Roman"/>
          <w:sz w:val="24"/>
          <w:szCs w:val="24"/>
        </w:rPr>
        <w:t>Elisa detected the concentration of IGF-1 in the supernatant of macrophages with BMAL1 knockdown/overexpression.</w:t>
      </w:r>
    </w:p>
    <w:p w14:paraId="16C2559D">
      <w:pPr>
        <w:widowControl/>
        <w:jc w:val="left"/>
        <w:rPr>
          <w:rFonts w:ascii="Times New Roman" w:hAnsi="Times New Roman" w:eastAsia="宋体" w:cs="Times New Roman"/>
          <w:b/>
          <w:bCs/>
          <w:sz w:val="24"/>
          <w:szCs w:val="24"/>
        </w:rPr>
      </w:pPr>
      <w:r>
        <w:rPr>
          <w:rFonts w:ascii="Times New Roman" w:hAnsi="Times New Roman" w:eastAsia="宋体" w:cs="Times New Roman"/>
          <w:b/>
          <w:bCs/>
          <w:sz w:val="24"/>
          <w:szCs w:val="24"/>
        </w:rPr>
        <w:br w:type="page"/>
      </w:r>
    </w:p>
    <w:p w14:paraId="06EA97C8">
      <w:pPr>
        <w:spacing w:before="156" w:beforeLines="50" w:line="360" w:lineRule="auto"/>
        <w:jc w:val="left"/>
        <w:rPr>
          <w:rFonts w:ascii="Times New Roman" w:hAnsi="Times New Roman" w:eastAsia="宋体" w:cs="Times New Roman"/>
          <w:b/>
          <w:bCs/>
          <w:sz w:val="24"/>
          <w:szCs w:val="24"/>
        </w:rPr>
      </w:pPr>
      <w:r>
        <w:rPr>
          <w:rFonts w:hint="eastAsia" w:ascii="Times New Roman" w:hAnsi="Times New Roman" w:eastAsia="宋体" w:cs="Times New Roman"/>
          <w:b/>
          <w:bCs/>
          <w:sz w:val="24"/>
          <w:szCs w:val="24"/>
        </w:rPr>
        <w:t>R</w:t>
      </w:r>
      <w:r>
        <w:rPr>
          <w:rFonts w:ascii="Times New Roman" w:hAnsi="Times New Roman" w:eastAsia="宋体" w:cs="Times New Roman"/>
          <w:b/>
          <w:bCs/>
          <w:sz w:val="24"/>
          <w:szCs w:val="24"/>
        </w:rPr>
        <w:t>eferences</w:t>
      </w:r>
    </w:p>
    <w:p w14:paraId="5B5505CB">
      <w:pPr>
        <w:pStyle w:val="14"/>
        <w:rPr>
          <w:rFonts w:ascii="Times New Roman" w:hAnsi="Times New Roman" w:cs="Times New Roman"/>
          <w:sz w:val="24"/>
        </w:rPr>
      </w:pPr>
      <w:r>
        <w:rPr>
          <w:rFonts w:eastAsia="宋体"/>
          <w:b/>
          <w:bCs/>
        </w:rPr>
        <w:fldChar w:fldCharType="begin"/>
      </w:r>
      <w:r>
        <w:rPr>
          <w:rFonts w:hint="eastAsia" w:eastAsia="宋体"/>
          <w:b/>
          <w:bCs/>
        </w:rPr>
        <w:instrText xml:space="preserve"> ADDIN ZOTERO_BIBL {"uncited":[],"omitted":[],"custom":[]} CSL_BIBLIOGRAPHY </w:instrText>
      </w:r>
      <w:r>
        <w:rPr>
          <w:rFonts w:eastAsia="宋体"/>
          <w:b/>
          <w:bCs/>
        </w:rPr>
        <w:fldChar w:fldCharType="separate"/>
      </w:r>
      <w:r>
        <w:rPr>
          <w:rFonts w:ascii="Times New Roman" w:hAnsi="Times New Roman" w:cs="Times New Roman"/>
          <w:sz w:val="24"/>
        </w:rPr>
        <w:t>1.</w:t>
      </w:r>
      <w:r>
        <w:rPr>
          <w:rFonts w:ascii="Times New Roman" w:hAnsi="Times New Roman" w:cs="Times New Roman"/>
          <w:sz w:val="24"/>
        </w:rPr>
        <w:tab/>
      </w:r>
      <w:r>
        <w:rPr>
          <w:rFonts w:ascii="Times New Roman" w:hAnsi="Times New Roman" w:cs="Times New Roman"/>
          <w:sz w:val="24"/>
        </w:rPr>
        <w:t>Zhao J, Zhou X, Tang Q, Yu R, Yu S, Long Y, et al. BMAL1 Deficiency Contributes to Mandibular Dysplasia by Upregulating MMP3. Stem Cell Reports. 2018 Jan;10(1):180–95. doi:10.1016/j.stemcr.2017.11.017</w:t>
      </w:r>
    </w:p>
    <w:p w14:paraId="67CC27E4">
      <w:pPr>
        <w:pStyle w:val="14"/>
        <w:rPr>
          <w:rFonts w:ascii="Times New Roman" w:hAnsi="Times New Roman" w:cs="Times New Roman"/>
          <w:sz w:val="24"/>
        </w:rPr>
      </w:pPr>
      <w:r>
        <w:rPr>
          <w:rFonts w:ascii="Times New Roman" w:hAnsi="Times New Roman" w:cs="Times New Roman"/>
          <w:sz w:val="24"/>
        </w:rPr>
        <w:t>2.</w:t>
      </w:r>
      <w:r>
        <w:rPr>
          <w:rFonts w:ascii="Times New Roman" w:hAnsi="Times New Roman" w:cs="Times New Roman"/>
          <w:sz w:val="24"/>
        </w:rPr>
        <w:tab/>
      </w:r>
      <w:r>
        <w:rPr>
          <w:rFonts w:ascii="Times New Roman" w:hAnsi="Times New Roman" w:cs="Times New Roman"/>
          <w:sz w:val="24"/>
        </w:rPr>
        <w:t>Ye L, Mei G, Liu H, Zhong R, Tang Q, Yuan Z. Circadian rhythm disruption aggravates alveolar bone loss in rat apical periodontitis. Int Endod J. 2025 May;58(5):744–56. doi:10.1111/iej.14201 PubMed PMID: 39871453.</w:t>
      </w:r>
    </w:p>
    <w:p w14:paraId="1E234C4B">
      <w:pPr>
        <w:pStyle w:val="14"/>
        <w:rPr>
          <w:rFonts w:ascii="Times New Roman" w:hAnsi="Times New Roman" w:cs="Times New Roman"/>
          <w:sz w:val="24"/>
        </w:rPr>
      </w:pPr>
      <w:r>
        <w:rPr>
          <w:rFonts w:ascii="Times New Roman" w:hAnsi="Times New Roman" w:cs="Times New Roman"/>
          <w:sz w:val="24"/>
        </w:rPr>
        <w:t>3.</w:t>
      </w:r>
      <w:r>
        <w:rPr>
          <w:rFonts w:ascii="Times New Roman" w:hAnsi="Times New Roman" w:cs="Times New Roman"/>
          <w:sz w:val="24"/>
        </w:rPr>
        <w:tab/>
      </w:r>
      <w:r>
        <w:rPr>
          <w:rFonts w:ascii="Times New Roman" w:hAnsi="Times New Roman" w:cs="Times New Roman"/>
          <w:sz w:val="24"/>
        </w:rPr>
        <w:t>Bunger MK, Wilsbacher LD, Moran SM, Clendenin C, Radcliffe LA, Hogenesch JB, et al. Mop3 Is an Essential Component of the Master Circadian Pacemaker in Mammals. Cell. 2000 Dec 22;103(7):1009–17. PubMed PMID: 11163178; PubMed Central PMCID: PMC3779439.</w:t>
      </w:r>
    </w:p>
    <w:p w14:paraId="4B329364">
      <w:pPr>
        <w:pStyle w:val="14"/>
        <w:rPr>
          <w:rFonts w:ascii="Times New Roman" w:hAnsi="Times New Roman" w:cs="Times New Roman"/>
          <w:sz w:val="24"/>
        </w:rPr>
      </w:pPr>
      <w:r>
        <w:rPr>
          <w:rFonts w:ascii="Times New Roman" w:hAnsi="Times New Roman" w:cs="Times New Roman"/>
          <w:sz w:val="24"/>
        </w:rPr>
        <w:t>4.</w:t>
      </w:r>
      <w:r>
        <w:rPr>
          <w:rFonts w:ascii="Times New Roman" w:hAnsi="Times New Roman" w:cs="Times New Roman"/>
          <w:sz w:val="24"/>
        </w:rPr>
        <w:tab/>
      </w:r>
      <w:r>
        <w:rPr>
          <w:rFonts w:ascii="Times New Roman" w:hAnsi="Times New Roman" w:cs="Times New Roman"/>
          <w:sz w:val="24"/>
        </w:rPr>
        <w:t>Wu X, Chen H, Wang Y, Gu Y. Akt2 Affects Periodontal Inflammation via Altering the M1/M2 Ratio. J Dent Res. 2020 May;99(5):577–87. doi:10.1177/0022034520910127</w:t>
      </w:r>
    </w:p>
    <w:p w14:paraId="6E4D3B5E">
      <w:pPr>
        <w:pStyle w:val="14"/>
        <w:rPr>
          <w:rFonts w:ascii="Times New Roman" w:hAnsi="Times New Roman" w:cs="Times New Roman"/>
          <w:sz w:val="24"/>
        </w:rPr>
      </w:pPr>
      <w:r>
        <w:rPr>
          <w:rFonts w:ascii="Times New Roman" w:hAnsi="Times New Roman" w:cs="Times New Roman"/>
          <w:sz w:val="24"/>
        </w:rPr>
        <w:t>5.</w:t>
      </w:r>
      <w:r>
        <w:rPr>
          <w:rFonts w:ascii="Times New Roman" w:hAnsi="Times New Roman" w:cs="Times New Roman"/>
          <w:sz w:val="24"/>
        </w:rPr>
        <w:tab/>
      </w:r>
      <w:r>
        <w:rPr>
          <w:rFonts w:ascii="Times New Roman" w:hAnsi="Times New Roman" w:cs="Times New Roman"/>
          <w:sz w:val="24"/>
        </w:rPr>
        <w:t>Han Y, Huang Y, Gao P, Yang Q, Jia L, Zheng Y, et al. Leptin Aggravates Periodontitis by Promoting M1 Polarization via NLRP3. J Dent Res. 2022 Jun;101(6):675–85. doi:10.1177/00220345211059418</w:t>
      </w:r>
    </w:p>
    <w:p w14:paraId="23EB6F66">
      <w:pPr>
        <w:pStyle w:val="14"/>
        <w:rPr>
          <w:rFonts w:ascii="Times New Roman" w:hAnsi="Times New Roman" w:cs="Times New Roman"/>
          <w:sz w:val="24"/>
        </w:rPr>
      </w:pPr>
      <w:r>
        <w:rPr>
          <w:rFonts w:ascii="Times New Roman" w:hAnsi="Times New Roman" w:cs="Times New Roman"/>
          <w:sz w:val="24"/>
        </w:rPr>
        <w:t>6.</w:t>
      </w:r>
      <w:r>
        <w:rPr>
          <w:rFonts w:ascii="Times New Roman" w:hAnsi="Times New Roman" w:cs="Times New Roman"/>
          <w:sz w:val="24"/>
        </w:rPr>
        <w:tab/>
      </w:r>
      <w:r>
        <w:rPr>
          <w:rFonts w:ascii="Times New Roman" w:hAnsi="Times New Roman" w:cs="Times New Roman"/>
          <w:sz w:val="24"/>
        </w:rPr>
        <w:t xml:space="preserve">Ma XX, Meng XQ, Wang YL, Liu Y, Shi XR, Shao S, et al. </w:t>
      </w:r>
      <w:r>
        <w:rPr>
          <w:rFonts w:ascii="Times New Roman" w:hAnsi="Times New Roman" w:cs="Times New Roman"/>
          <w:i/>
          <w:iCs/>
          <w:sz w:val="24"/>
        </w:rPr>
        <w:t>Ncor1</w:t>
      </w:r>
      <w:r>
        <w:rPr>
          <w:rFonts w:ascii="Times New Roman" w:hAnsi="Times New Roman" w:cs="Times New Roman"/>
          <w:sz w:val="24"/>
        </w:rPr>
        <w:t xml:space="preserve"> Deficiency Promotes Osteoclastogenesis and Exacerbates Periodontitis. J Dent Res. 2023 Jan;102(1):72–81. doi:10.1177/00220345221116927</w:t>
      </w:r>
    </w:p>
    <w:p w14:paraId="759F1F9C">
      <w:pPr>
        <w:spacing w:before="156" w:beforeLines="50" w:line="360" w:lineRule="auto"/>
        <w:jc w:val="left"/>
        <w:rPr>
          <w:rFonts w:ascii="Times New Roman" w:hAnsi="Times New Roman" w:eastAsia="宋体" w:cs="Times New Roman"/>
          <w:b/>
          <w:bCs/>
          <w:sz w:val="24"/>
          <w:szCs w:val="24"/>
        </w:rPr>
      </w:pPr>
      <w:r>
        <w:rPr>
          <w:rFonts w:ascii="Times New Roman" w:hAnsi="Times New Roman" w:eastAsia="宋体" w:cs="Times New Roman"/>
          <w:b/>
          <w:bCs/>
          <w:sz w:val="24"/>
          <w:szCs w:val="24"/>
        </w:rPr>
        <w:fldChar w:fldCharType="end"/>
      </w:r>
    </w:p>
    <w:sectPr>
      <w:footerReference r:id="rId3" w:type="default"/>
      <w:pgSz w:w="11906" w:h="16838"/>
      <w:pgMar w:top="1440" w:right="1800" w:bottom="1440" w:left="1800" w:header="851" w:footer="992" w:gutter="0"/>
      <w:lnNumType w:countBy="1" w:restart="continuou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华文中宋">
    <w:panose1 w:val="02010600040101010101"/>
    <w:charset w:val="86"/>
    <w:family w:val="auto"/>
    <w:pitch w:val="default"/>
    <w:sig w:usb0="00000287" w:usb1="080F0000" w:usb2="00000000" w:usb3="00000000" w:csb0="0004009F" w:csb1="DFD7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87059552"/>
      <w:docPartObj>
        <w:docPartGallery w:val="autotext"/>
      </w:docPartObj>
    </w:sdtPr>
    <w:sdtContent>
      <w:p w14:paraId="6C660F29">
        <w:pPr>
          <w:pStyle w:val="4"/>
          <w:jc w:val="right"/>
          <w:rPr>
            <w:rFonts w:hint="eastAsia"/>
          </w:rPr>
        </w:pPr>
        <w:r>
          <w:fldChar w:fldCharType="begin"/>
        </w:r>
        <w:r>
          <w:instrText xml:space="preserve">PAGE   \* MERGEFORMAT</w:instrText>
        </w:r>
        <w:r>
          <w:fldChar w:fldCharType="separate"/>
        </w:r>
        <w:r>
          <w:rPr>
            <w:lang w:val="zh-CN"/>
          </w:rPr>
          <w:t>2</w:t>
        </w:r>
        <w:r>
          <w:fldChar w:fldCharType="end"/>
        </w:r>
      </w:p>
    </w:sdtContent>
  </w:sdt>
  <w:p w14:paraId="533D5584">
    <w:pPr>
      <w:pStyle w:val="4"/>
      <w:rPr>
        <w:rFonts w:hint="eastAsia"/>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6EE2"/>
    <w:rsid w:val="001328D6"/>
    <w:rsid w:val="00133930"/>
    <w:rsid w:val="001B6998"/>
    <w:rsid w:val="001D4A33"/>
    <w:rsid w:val="0022401E"/>
    <w:rsid w:val="00274A92"/>
    <w:rsid w:val="00341DA1"/>
    <w:rsid w:val="00396EE2"/>
    <w:rsid w:val="003A364B"/>
    <w:rsid w:val="004036DA"/>
    <w:rsid w:val="00436E12"/>
    <w:rsid w:val="00465AFC"/>
    <w:rsid w:val="00486C23"/>
    <w:rsid w:val="004B5475"/>
    <w:rsid w:val="004D2959"/>
    <w:rsid w:val="004E35F9"/>
    <w:rsid w:val="00501634"/>
    <w:rsid w:val="005957A1"/>
    <w:rsid w:val="0071258F"/>
    <w:rsid w:val="00781ECB"/>
    <w:rsid w:val="0082326E"/>
    <w:rsid w:val="0082651D"/>
    <w:rsid w:val="0083005F"/>
    <w:rsid w:val="00880C47"/>
    <w:rsid w:val="008C01C1"/>
    <w:rsid w:val="009C763E"/>
    <w:rsid w:val="009F3683"/>
    <w:rsid w:val="00A53249"/>
    <w:rsid w:val="00A86AE5"/>
    <w:rsid w:val="00AB0C38"/>
    <w:rsid w:val="00B1549D"/>
    <w:rsid w:val="00B17553"/>
    <w:rsid w:val="00BD44E1"/>
    <w:rsid w:val="00C71176"/>
    <w:rsid w:val="00D87EA0"/>
    <w:rsid w:val="00DA3F93"/>
    <w:rsid w:val="00DD0E9D"/>
    <w:rsid w:val="00E23E2E"/>
    <w:rsid w:val="00E63F72"/>
    <w:rsid w:val="00FD16F5"/>
    <w:rsid w:val="2D94331D"/>
    <w:rsid w:val="4F165BCD"/>
    <w:rsid w:val="5A3127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qFormat="1"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1"/>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12"/>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8">
    <w:name w:val="Default Paragraph Font"/>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4">
    <w:name w:val="footer"/>
    <w:basedOn w:val="1"/>
    <w:link w:val="16"/>
    <w:unhideWhenUsed/>
    <w:qFormat/>
    <w:uiPriority w:val="99"/>
    <w:pPr>
      <w:tabs>
        <w:tab w:val="center" w:pos="4153"/>
        <w:tab w:val="right" w:pos="8306"/>
      </w:tabs>
      <w:snapToGrid w:val="0"/>
      <w:jc w:val="left"/>
    </w:pPr>
    <w:rPr>
      <w:sz w:val="18"/>
      <w:szCs w:val="18"/>
    </w:rPr>
  </w:style>
  <w:style w:type="paragraph" w:styleId="5">
    <w:name w:val="header"/>
    <w:basedOn w:val="1"/>
    <w:link w:val="15"/>
    <w:unhideWhenUsed/>
    <w:qFormat/>
    <w:uiPriority w:val="99"/>
    <w:pPr>
      <w:tabs>
        <w:tab w:val="center" w:pos="4153"/>
        <w:tab w:val="right" w:pos="8306"/>
      </w:tabs>
      <w:snapToGrid w:val="0"/>
      <w:jc w:val="center"/>
    </w:pPr>
    <w:rPr>
      <w:sz w:val="18"/>
      <w:szCs w:val="18"/>
    </w:rPr>
  </w:style>
  <w:style w:type="table" w:styleId="7">
    <w:name w:val="Table Grid"/>
    <w:basedOn w:val="6"/>
    <w:qFormat/>
    <w:uiPriority w:val="3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line number"/>
    <w:basedOn w:val="8"/>
    <w:semiHidden/>
    <w:unhideWhenUsed/>
    <w:qFormat/>
    <w:uiPriority w:val="99"/>
  </w:style>
  <w:style w:type="character" w:styleId="10">
    <w:name w:val="Hyperlink"/>
    <w:basedOn w:val="8"/>
    <w:unhideWhenUsed/>
    <w:qFormat/>
    <w:uiPriority w:val="99"/>
    <w:rPr>
      <w:color w:val="0563C1" w:themeColor="hyperlink"/>
      <w:u w:val="single"/>
      <w14:textFill>
        <w14:solidFill>
          <w14:schemeClr w14:val="hlink"/>
        </w14:solidFill>
      </w14:textFill>
    </w:rPr>
  </w:style>
  <w:style w:type="character" w:customStyle="1" w:styleId="11">
    <w:name w:val="标题 1 字符"/>
    <w:basedOn w:val="8"/>
    <w:link w:val="2"/>
    <w:qFormat/>
    <w:uiPriority w:val="9"/>
    <w:rPr>
      <w:b/>
      <w:bCs/>
      <w:kern w:val="44"/>
      <w:sz w:val="44"/>
      <w:szCs w:val="44"/>
    </w:rPr>
  </w:style>
  <w:style w:type="character" w:customStyle="1" w:styleId="12">
    <w:name w:val="标题 2 字符"/>
    <w:basedOn w:val="8"/>
    <w:link w:val="3"/>
    <w:qFormat/>
    <w:uiPriority w:val="9"/>
    <w:rPr>
      <w:rFonts w:asciiTheme="majorHAnsi" w:hAnsiTheme="majorHAnsi" w:eastAsiaTheme="majorEastAsia" w:cstheme="majorBidi"/>
      <w:b/>
      <w:bCs/>
      <w:sz w:val="32"/>
      <w:szCs w:val="32"/>
    </w:rPr>
  </w:style>
  <w:style w:type="paragraph" w:styleId="13">
    <w:name w:val="No Spacing"/>
    <w:qFormat/>
    <w:uiPriority w:val="1"/>
    <w:pPr>
      <w:widowControl w:val="0"/>
      <w:jc w:val="both"/>
    </w:pPr>
    <w:rPr>
      <w:rFonts w:asciiTheme="minorHAnsi" w:hAnsiTheme="minorHAnsi" w:eastAsiaTheme="minorEastAsia" w:cstheme="minorBidi"/>
      <w:kern w:val="2"/>
      <w:sz w:val="21"/>
      <w:szCs w:val="22"/>
      <w:lang w:val="en-US" w:eastAsia="zh-CN" w:bidi="ar-SA"/>
    </w:rPr>
  </w:style>
  <w:style w:type="paragraph" w:customStyle="1" w:styleId="14">
    <w:name w:val="Bibliography"/>
    <w:basedOn w:val="1"/>
    <w:next w:val="1"/>
    <w:unhideWhenUsed/>
    <w:qFormat/>
    <w:uiPriority w:val="37"/>
    <w:pPr>
      <w:tabs>
        <w:tab w:val="left" w:pos="264"/>
      </w:tabs>
      <w:spacing w:after="240"/>
      <w:ind w:left="264" w:hanging="264"/>
    </w:pPr>
  </w:style>
  <w:style w:type="character" w:customStyle="1" w:styleId="15">
    <w:name w:val="页眉 字符"/>
    <w:basedOn w:val="8"/>
    <w:link w:val="5"/>
    <w:qFormat/>
    <w:uiPriority w:val="99"/>
    <w:rPr>
      <w:sz w:val="18"/>
      <w:szCs w:val="18"/>
    </w:rPr>
  </w:style>
  <w:style w:type="character" w:customStyle="1" w:styleId="16">
    <w:name w:val="页脚 字符"/>
    <w:basedOn w:val="8"/>
    <w:link w:val="4"/>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1519</Words>
  <Characters>9802</Characters>
  <Lines>512</Lines>
  <Paragraphs>272</Paragraphs>
  <TotalTime>51</TotalTime>
  <ScaleCrop>false</ScaleCrop>
  <LinksUpToDate>false</LinksUpToDate>
  <CharactersWithSpaces>11207</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2025-01-01T14:14:00Z</dcterms:created>
  <dc:creator>Author</dc:creator>
  <cp:lastModifiedBy>于然</cp:lastModifiedBy>
  <dcterms:modified xsi:type="dcterms:W3CDTF">2026-04-17T00:46:05Z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id="edwGWOjg"/&gt;&lt;style id="http://www.zotero.org/styles/nlm-citation-sequence" locale="en-US" hasBibliography="1" bibliographyStyleHasBeenSet="1"/&gt;&lt;prefs&gt;&lt;pref name="fieldType" value="Field"/&gt;&lt;/prefs&gt;</vt:lpwstr>
  </property>
  <property fmtid="{D5CDD505-2E9C-101B-9397-08002B2CF9AE}" pid="3" name="ZOTERO_PREF_2">
    <vt:lpwstr>&lt;/data&gt;</vt:lpwstr>
  </property>
  <property fmtid="{D5CDD505-2E9C-101B-9397-08002B2CF9AE}" pid="4" name="KSOTemplateDocerSaveRecord">
    <vt:lpwstr>eyJoZGlkIjoiNDYxNzFjMWUwMTM0YjI4YjE3ODIxYjU3OGRhMjBhMGUiLCJ1c2VySWQiOiIzMTczMTU1ODgifQ==</vt:lpwstr>
  </property>
  <property fmtid="{D5CDD505-2E9C-101B-9397-08002B2CF9AE}" pid="5" name="KSOProductBuildVer">
    <vt:lpwstr>2052-12.1.0.25865</vt:lpwstr>
  </property>
  <property fmtid="{D5CDD505-2E9C-101B-9397-08002B2CF9AE}" pid="6" name="ICV">
    <vt:lpwstr>429C5633DEA14156A125585B68604891_12</vt:lpwstr>
  </property>
</Properties>
</file>