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AA8C1" w14:textId="77777777" w:rsidR="0021163A" w:rsidRDefault="0021163A" w:rsidP="0021163A">
      <w:pPr>
        <w:pStyle w:val="Heading1"/>
        <w:rPr>
          <w:color w:val="auto"/>
          <w:lang w:val="en-US"/>
        </w:rPr>
      </w:pPr>
      <w:r>
        <w:rPr>
          <w:color w:val="auto"/>
          <w:lang w:val="en-US"/>
        </w:rPr>
        <w:t>Supplementary Figures</w:t>
      </w:r>
    </w:p>
    <w:p w14:paraId="17F8C2DE" w14:textId="77777777" w:rsidR="0021163A" w:rsidRPr="0021163A" w:rsidRDefault="0021163A" w:rsidP="0021163A">
      <w:pPr>
        <w:rPr>
          <w:lang w:val="en-US"/>
        </w:rPr>
      </w:pPr>
      <w:r w:rsidRPr="00EF3429">
        <w:rPr>
          <w:lang w:val="en-US"/>
        </w:rPr>
        <w:t>Age-dependent normative centile curves for</w:t>
      </w:r>
      <w:r>
        <w:rPr>
          <w:lang w:val="en-US"/>
        </w:rPr>
        <w:t xml:space="preserve"> different indices and ratios </w:t>
      </w:r>
      <w:r w:rsidRPr="00EF3429">
        <w:rPr>
          <w:lang w:val="en-US"/>
        </w:rPr>
        <w:t xml:space="preserve">across all 19 electrodes of the 10–20 system. Each panel corresponds to one electrode, arranged in approximate anatomical order from anterior (top) to posterior (bottom). Individual observations from the </w:t>
      </w:r>
      <w:proofErr w:type="spellStart"/>
      <w:r w:rsidRPr="00EF3429">
        <w:rPr>
          <w:lang w:val="en-US"/>
        </w:rPr>
        <w:t>HarMNqEEG</w:t>
      </w:r>
      <w:proofErr w:type="spellEnd"/>
      <w:r w:rsidRPr="00EF3429">
        <w:rPr>
          <w:lang w:val="en-US"/>
        </w:rPr>
        <w:t xml:space="preserve"> normative database (n = 1,564; ages 5–97 years) are shown as grey circles. The solid red line indicates the normative mean (μ) estimated by GAMLSS with P-spline smoothers on log(age). The shaded grey band represents the ±1.96σ normative interval, corresponding to the 2.5th–97.5th centile range under the fitted conditional distribution. Dashed lines mark the outer ±1.96σ bounds. The x-axis is displayed on a logarithmic scale.</w:t>
      </w:r>
    </w:p>
    <w:p w14:paraId="3D586E74" w14:textId="77777777" w:rsidR="0021163A" w:rsidRPr="006F651F" w:rsidRDefault="0021163A" w:rsidP="0021163A">
      <w:pPr>
        <w:rPr>
          <w:lang w:val="en-US"/>
        </w:rPr>
      </w:pPr>
    </w:p>
    <w:p w14:paraId="04922DA3" w14:textId="77777777" w:rsidR="0021163A" w:rsidRPr="00E21839" w:rsidRDefault="0021163A" w:rsidP="0021163A">
      <w:pPr>
        <w:keepNext/>
        <w:spacing w:after="160" w:line="276" w:lineRule="auto"/>
        <w:jc w:val="both"/>
        <w:rPr>
          <w:lang w:val="en-US"/>
        </w:rPr>
      </w:pPr>
      <w:r>
        <w:rPr>
          <w:noProof/>
        </w:rPr>
        <w:drawing>
          <wp:inline distT="0" distB="0" distL="0" distR="0" wp14:anchorId="47A49B6F" wp14:editId="10EBC58C">
            <wp:extent cx="5943600" cy="3012440"/>
            <wp:effectExtent l="0" t="0" r="0" b="0"/>
            <wp:docPr id="4" name="Picture 3">
              <a:extLst xmlns:a="http://schemas.openxmlformats.org/drawingml/2006/main">
                <a:ext uri="{FF2B5EF4-FFF2-40B4-BE49-F238E27FC236}">
                  <a16:creationId xmlns:a16="http://schemas.microsoft.com/office/drawing/2014/main" id="{649DA823-C2FD-0F48-3B99-17C639F7EDC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49DA823-C2FD-0F48-3B99-17C639F7EDC0}"/>
                        </a:ext>
                      </a:extLst>
                    </pic:cNvPr>
                    <pic:cNvPicPr>
                      <a:picLocks/>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012440"/>
                    </a:xfrm>
                    <a:prstGeom prst="rect">
                      <a:avLst/>
                    </a:prstGeom>
                  </pic:spPr>
                </pic:pic>
              </a:graphicData>
            </a:graphic>
          </wp:inline>
        </w:drawing>
      </w:r>
    </w:p>
    <w:p w14:paraId="76ED835A" w14:textId="77777777" w:rsidR="0021163A" w:rsidRPr="0034529A" w:rsidRDefault="0021163A" w:rsidP="0021163A">
      <w:pPr>
        <w:pStyle w:val="Caption"/>
        <w:jc w:val="both"/>
        <w:rPr>
          <w:lang w:val="en-US"/>
        </w:rPr>
      </w:pPr>
      <w:r>
        <w:rPr>
          <w:b/>
          <w:bCs/>
          <w:lang w:val="en-US"/>
        </w:rPr>
        <w:t xml:space="preserve">Sup. Figure 1. </w:t>
      </w:r>
      <w:r w:rsidRPr="0034529A">
        <w:rPr>
          <w:lang w:val="en-US"/>
        </w:rPr>
        <w:t>Theta/Beta Ratio (TBR)</w:t>
      </w:r>
      <w:r>
        <w:rPr>
          <w:lang w:val="en-US"/>
        </w:rPr>
        <w:t xml:space="preserve">, </w:t>
      </w:r>
      <w:r w:rsidRPr="0034529A">
        <w:rPr>
          <w:lang w:val="en-US"/>
        </w:rPr>
        <w:t>defined as ln[θ(</w:t>
      </w:r>
      <w:proofErr w:type="spellStart"/>
      <w:r w:rsidRPr="0034529A">
        <w:rPr>
          <w:lang w:val="en-US"/>
        </w:rPr>
        <w:t>ch</w:t>
      </w:r>
      <w:proofErr w:type="spellEnd"/>
      <w:r w:rsidRPr="0034529A">
        <w:rPr>
          <w:lang w:val="en-US"/>
        </w:rPr>
        <w:t>)] − ln[β(</w:t>
      </w:r>
      <w:proofErr w:type="spellStart"/>
      <w:r w:rsidRPr="0034529A">
        <w:rPr>
          <w:lang w:val="en-US"/>
        </w:rPr>
        <w:t>ch</w:t>
      </w:r>
      <w:proofErr w:type="spellEnd"/>
      <w:r w:rsidRPr="0034529A">
        <w:rPr>
          <w:lang w:val="en-US"/>
        </w:rPr>
        <w:t xml:space="preserve">)] at each electrode </w:t>
      </w:r>
      <w:proofErr w:type="spellStart"/>
      <w:r w:rsidRPr="0034529A">
        <w:rPr>
          <w:lang w:val="en-US"/>
        </w:rPr>
        <w:t>ch.</w:t>
      </w:r>
      <w:proofErr w:type="spellEnd"/>
      <w:r w:rsidRPr="0034529A">
        <w:rPr>
          <w:lang w:val="en-US"/>
        </w:rPr>
        <w:t xml:space="preserve"> The consistent age-dependent decrease observed across all electrodes — most pronounced at frontal and central sites — reflects progressive cortical maturation and reduction of slow oscillatory dominance from childhood through adulthood (Arns et al. 2013; </w:t>
      </w:r>
      <w:proofErr w:type="spellStart"/>
      <w:r w:rsidRPr="0034529A">
        <w:rPr>
          <w:lang w:val="en-US"/>
        </w:rPr>
        <w:t>Ogrim</w:t>
      </w:r>
      <w:proofErr w:type="spellEnd"/>
      <w:r w:rsidRPr="0034529A">
        <w:rPr>
          <w:lang w:val="en-US"/>
        </w:rPr>
        <w:t xml:space="preserve"> et al. 2012).</w:t>
      </w:r>
      <w:r w:rsidRPr="0034529A">
        <w:fldChar w:fldCharType="begin"/>
      </w:r>
      <w:r w:rsidRPr="0034529A">
        <w:rPr>
          <w:lang w:val="en-US"/>
        </w:rPr>
        <w:instrText xml:space="preserve"> SEQ Sup._Figure \* ARABIC </w:instrText>
      </w:r>
      <w:r w:rsidRPr="0034529A">
        <w:fldChar w:fldCharType="separate"/>
      </w:r>
      <w:r w:rsidRPr="0034529A">
        <w:fldChar w:fldCharType="end"/>
      </w:r>
    </w:p>
    <w:p w14:paraId="10D51C4B" w14:textId="77777777" w:rsidR="0021163A" w:rsidRPr="0034529A" w:rsidRDefault="0021163A" w:rsidP="0021163A">
      <w:pPr>
        <w:spacing w:after="160" w:line="276" w:lineRule="auto"/>
        <w:jc w:val="both"/>
        <w:rPr>
          <w:lang w:val="en-US"/>
        </w:rPr>
      </w:pPr>
    </w:p>
    <w:p w14:paraId="5AAB21D1" w14:textId="77777777" w:rsidR="0021163A" w:rsidRPr="0034529A" w:rsidRDefault="0021163A" w:rsidP="0021163A">
      <w:pPr>
        <w:keepNext/>
        <w:spacing w:after="160" w:line="276" w:lineRule="auto"/>
        <w:jc w:val="both"/>
      </w:pPr>
      <w:r w:rsidRPr="0034529A">
        <w:rPr>
          <w:noProof/>
        </w:rPr>
        <w:lastRenderedPageBreak/>
        <w:drawing>
          <wp:inline distT="0" distB="0" distL="0" distR="0" wp14:anchorId="400645A1" wp14:editId="4BAA0D0D">
            <wp:extent cx="5943600" cy="3012440"/>
            <wp:effectExtent l="0" t="0" r="0" b="0"/>
            <wp:docPr id="1080809192" name="Picture 3">
              <a:extLst xmlns:a="http://schemas.openxmlformats.org/drawingml/2006/main">
                <a:ext uri="{FF2B5EF4-FFF2-40B4-BE49-F238E27FC236}">
                  <a16:creationId xmlns:a16="http://schemas.microsoft.com/office/drawing/2014/main" id="{B6E76D26-7399-0E63-C397-D6D80583EDE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6E76D26-7399-0E63-C397-D6D80583EDE3}"/>
                        </a:ext>
                      </a:extLst>
                    </pic:cNvPr>
                    <pic:cNvPicPr>
                      <a:picLocks/>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012440"/>
                    </a:xfrm>
                    <a:prstGeom prst="rect">
                      <a:avLst/>
                    </a:prstGeom>
                  </pic:spPr>
                </pic:pic>
              </a:graphicData>
            </a:graphic>
          </wp:inline>
        </w:drawing>
      </w:r>
    </w:p>
    <w:p w14:paraId="723D2E15" w14:textId="77777777" w:rsidR="0021163A" w:rsidRPr="0034529A" w:rsidRDefault="0021163A" w:rsidP="0021163A">
      <w:pPr>
        <w:pStyle w:val="Caption"/>
        <w:jc w:val="both"/>
        <w:rPr>
          <w:lang w:val="en-US"/>
        </w:rPr>
      </w:pPr>
      <w:r w:rsidRPr="0034529A">
        <w:rPr>
          <w:b/>
          <w:bCs/>
          <w:lang w:val="en-US"/>
        </w:rPr>
        <w:t>Sup. Figure 2.</w:t>
      </w:r>
      <w:r w:rsidRPr="0034529A">
        <w:rPr>
          <w:lang w:val="en-US"/>
        </w:rPr>
        <w:t xml:space="preserve"> Theta/Alpha Ratio (TAR)</w:t>
      </w:r>
      <w:r>
        <w:rPr>
          <w:lang w:val="en-US"/>
        </w:rPr>
        <w:t xml:space="preserve">, </w:t>
      </w:r>
      <w:r w:rsidRPr="0034529A">
        <w:rPr>
          <w:lang w:val="en-US"/>
        </w:rPr>
        <w:t>defined as ln[θ(</w:t>
      </w:r>
      <w:proofErr w:type="spellStart"/>
      <w:r w:rsidRPr="0034529A">
        <w:rPr>
          <w:lang w:val="en-US"/>
        </w:rPr>
        <w:t>ch</w:t>
      </w:r>
      <w:proofErr w:type="spellEnd"/>
      <w:r w:rsidRPr="0034529A">
        <w:rPr>
          <w:lang w:val="en-US"/>
        </w:rPr>
        <w:t>)] − ln[α(</w:t>
      </w:r>
      <w:proofErr w:type="spellStart"/>
      <w:r w:rsidRPr="0034529A">
        <w:rPr>
          <w:lang w:val="en-US"/>
        </w:rPr>
        <w:t>ch</w:t>
      </w:r>
      <w:proofErr w:type="spellEnd"/>
      <w:r w:rsidRPr="0034529A">
        <w:rPr>
          <w:lang w:val="en-US"/>
        </w:rPr>
        <w:t xml:space="preserve">)] at each electrode </w:t>
      </w:r>
      <w:proofErr w:type="spellStart"/>
      <w:r w:rsidRPr="0034529A">
        <w:rPr>
          <w:lang w:val="en-US"/>
        </w:rPr>
        <w:t>ch.</w:t>
      </w:r>
      <w:proofErr w:type="spellEnd"/>
      <w:r w:rsidRPr="0034529A">
        <w:rPr>
          <w:lang w:val="en-US"/>
        </w:rPr>
        <w:t xml:space="preserve"> The age-</w:t>
      </w:r>
      <w:proofErr w:type="gramStart"/>
      <w:r w:rsidRPr="0034529A">
        <w:rPr>
          <w:lang w:val="en-US"/>
        </w:rPr>
        <w:t>dependent</w:t>
      </w:r>
      <w:proofErr w:type="gramEnd"/>
      <w:r w:rsidRPr="0034529A">
        <w:rPr>
          <w:lang w:val="en-US"/>
        </w:rPr>
        <w:t xml:space="preserve"> decrease is consistent across all electrodes, reflecting the progressive strengthening of alpha relative to theta activity during cortical maturation. The trajectory is less steep than for TBR, and the normative band is narrower in posterior regions — where alpha dominance is more consistent across individuals — compared to frontal sites, where greater inter-individual variability in vigilance-related theta modulation broadens the normative interval (Klimesch 1999).</w:t>
      </w:r>
      <w:r w:rsidRPr="0034529A">
        <w:fldChar w:fldCharType="begin"/>
      </w:r>
      <w:r w:rsidRPr="0034529A">
        <w:rPr>
          <w:lang w:val="en-US"/>
        </w:rPr>
        <w:instrText xml:space="preserve"> SEQ Sup._Figure \* ARABIC </w:instrText>
      </w:r>
      <w:r w:rsidRPr="0034529A">
        <w:fldChar w:fldCharType="separate"/>
      </w:r>
      <w:r w:rsidRPr="0034529A">
        <w:fldChar w:fldCharType="end"/>
      </w:r>
    </w:p>
    <w:p w14:paraId="301DCFB2" w14:textId="77777777" w:rsidR="0021163A" w:rsidRPr="0034529A" w:rsidRDefault="0021163A" w:rsidP="0021163A">
      <w:pPr>
        <w:keepNext/>
        <w:spacing w:after="160" w:line="276" w:lineRule="auto"/>
        <w:jc w:val="both"/>
      </w:pPr>
      <w:r w:rsidRPr="0034529A">
        <w:rPr>
          <w:noProof/>
        </w:rPr>
        <w:drawing>
          <wp:inline distT="0" distB="0" distL="0" distR="0" wp14:anchorId="55C38436" wp14:editId="48B3F950">
            <wp:extent cx="5943600" cy="3012440"/>
            <wp:effectExtent l="0" t="0" r="0" b="0"/>
            <wp:docPr id="2098249421" name="Picture 3">
              <a:extLst xmlns:a="http://schemas.openxmlformats.org/drawingml/2006/main">
                <a:ext uri="{FF2B5EF4-FFF2-40B4-BE49-F238E27FC236}">
                  <a16:creationId xmlns:a16="http://schemas.microsoft.com/office/drawing/2014/main" id="{CE6FB28C-7A2E-3A4D-7029-404FC312922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E6FB28C-7A2E-3A4D-7029-404FC3129221}"/>
                        </a:ext>
                      </a:extLst>
                    </pic:cNvPr>
                    <pic:cNvPicPr>
                      <a:picLocks/>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012440"/>
                    </a:xfrm>
                    <a:prstGeom prst="rect">
                      <a:avLst/>
                    </a:prstGeom>
                  </pic:spPr>
                </pic:pic>
              </a:graphicData>
            </a:graphic>
          </wp:inline>
        </w:drawing>
      </w:r>
    </w:p>
    <w:p w14:paraId="02B5A115" w14:textId="77777777" w:rsidR="0021163A" w:rsidRPr="0034529A" w:rsidRDefault="0021163A" w:rsidP="0021163A">
      <w:pPr>
        <w:pStyle w:val="Caption"/>
        <w:jc w:val="both"/>
        <w:rPr>
          <w:lang w:val="en-US"/>
        </w:rPr>
      </w:pPr>
      <w:r w:rsidRPr="0034529A">
        <w:rPr>
          <w:b/>
          <w:bCs/>
          <w:lang w:val="en-US"/>
        </w:rPr>
        <w:t xml:space="preserve">Sup. Figure </w:t>
      </w:r>
      <w:r w:rsidRPr="0034529A">
        <w:rPr>
          <w:b/>
          <w:bCs/>
        </w:rPr>
        <w:fldChar w:fldCharType="begin"/>
      </w:r>
      <w:r w:rsidRPr="0034529A">
        <w:rPr>
          <w:b/>
          <w:bCs/>
          <w:lang w:val="en-US"/>
        </w:rPr>
        <w:instrText xml:space="preserve"> SEQ Sup._Figure \* ARABIC </w:instrText>
      </w:r>
      <w:r w:rsidRPr="0034529A">
        <w:rPr>
          <w:b/>
          <w:bCs/>
        </w:rPr>
        <w:fldChar w:fldCharType="separate"/>
      </w:r>
      <w:r w:rsidRPr="0034529A">
        <w:rPr>
          <w:b/>
          <w:bCs/>
          <w:noProof/>
          <w:lang w:val="en-US"/>
        </w:rPr>
        <w:t>3</w:t>
      </w:r>
      <w:r w:rsidRPr="0034529A">
        <w:rPr>
          <w:b/>
          <w:bCs/>
        </w:rPr>
        <w:fldChar w:fldCharType="end"/>
      </w:r>
      <w:r w:rsidRPr="0034529A">
        <w:rPr>
          <w:b/>
          <w:bCs/>
          <w:lang w:val="en-US"/>
        </w:rPr>
        <w:t>.</w:t>
      </w:r>
      <w:r w:rsidRPr="0034529A">
        <w:rPr>
          <w:lang w:val="en-US"/>
        </w:rPr>
        <w:t xml:space="preserve"> Alpha/Beta Ratio (ABR)</w:t>
      </w:r>
      <w:r>
        <w:rPr>
          <w:lang w:val="en-US"/>
        </w:rPr>
        <w:t>,</w:t>
      </w:r>
      <w:r w:rsidRPr="0034529A">
        <w:rPr>
          <w:lang w:val="en-US"/>
        </w:rPr>
        <w:t xml:space="preserve"> defined as ln[</w:t>
      </w:r>
      <w:r w:rsidRPr="0034529A">
        <w:t>α</w:t>
      </w:r>
      <w:r w:rsidRPr="0034529A">
        <w:rPr>
          <w:lang w:val="en-US"/>
        </w:rPr>
        <w:t>(</w:t>
      </w:r>
      <w:proofErr w:type="spellStart"/>
      <w:r w:rsidRPr="0034529A">
        <w:rPr>
          <w:lang w:val="en-US"/>
        </w:rPr>
        <w:t>ch</w:t>
      </w:r>
      <w:proofErr w:type="spellEnd"/>
      <w:r w:rsidRPr="0034529A">
        <w:rPr>
          <w:lang w:val="en-US"/>
        </w:rPr>
        <w:t>)] − ln[</w:t>
      </w:r>
      <w:r w:rsidRPr="0034529A">
        <w:t>β</w:t>
      </w:r>
      <w:r w:rsidRPr="0034529A">
        <w:rPr>
          <w:lang w:val="en-US"/>
        </w:rPr>
        <w:t>(</w:t>
      </w:r>
      <w:proofErr w:type="spellStart"/>
      <w:r w:rsidRPr="0034529A">
        <w:rPr>
          <w:lang w:val="en-US"/>
        </w:rPr>
        <w:t>ch</w:t>
      </w:r>
      <w:proofErr w:type="spellEnd"/>
      <w:r w:rsidRPr="0034529A">
        <w:rPr>
          <w:lang w:val="en-US"/>
        </w:rPr>
        <w:t xml:space="preserve">)] at each electrode </w:t>
      </w:r>
      <w:proofErr w:type="spellStart"/>
      <w:r w:rsidRPr="0034529A">
        <w:rPr>
          <w:lang w:val="en-US"/>
        </w:rPr>
        <w:t>ch.</w:t>
      </w:r>
      <w:proofErr w:type="spellEnd"/>
      <w:r w:rsidRPr="0034529A">
        <w:rPr>
          <w:lang w:val="en-US"/>
        </w:rPr>
        <w:t xml:space="preserve"> In contrast to TBR and TAR, ABR shows a non-monotonic developmental trajectory in several electrodes: values increase during childhood and adolescence — reflecting the well-documented strengthening of alpha oscillations during cortical maturation — before stabilizing or modestly declining in adulthood. This pattern is most pronounced at posterior and parietal sites (P3, </w:t>
      </w:r>
      <w:proofErr w:type="spellStart"/>
      <w:r w:rsidRPr="0034529A">
        <w:rPr>
          <w:lang w:val="en-US"/>
        </w:rPr>
        <w:t>Pz</w:t>
      </w:r>
      <w:proofErr w:type="spellEnd"/>
      <w:r w:rsidRPr="0034529A">
        <w:rPr>
          <w:lang w:val="en-US"/>
        </w:rPr>
        <w:t>, P4, O1, O2), where alpha dominance is strongest, and attenuated at frontal sites where beta activity contributes more substantially to the ratio. The normative band is notably wider at frontal electrodes, reflecting greater inter-individual variability in the alpha/beta balance in prefrontal regions.</w:t>
      </w:r>
    </w:p>
    <w:p w14:paraId="0CF145B3" w14:textId="77777777" w:rsidR="0021163A" w:rsidRPr="0034529A" w:rsidRDefault="0021163A" w:rsidP="0021163A">
      <w:pPr>
        <w:keepNext/>
        <w:spacing w:after="160" w:line="276" w:lineRule="auto"/>
        <w:jc w:val="both"/>
      </w:pPr>
      <w:r w:rsidRPr="0034529A">
        <w:rPr>
          <w:noProof/>
        </w:rPr>
        <w:lastRenderedPageBreak/>
        <w:drawing>
          <wp:inline distT="0" distB="0" distL="0" distR="0" wp14:anchorId="3B7048E8" wp14:editId="5DA9B3C3">
            <wp:extent cx="5943600" cy="3012440"/>
            <wp:effectExtent l="0" t="0" r="0" b="0"/>
            <wp:docPr id="147279772" name="Picture 3">
              <a:extLst xmlns:a="http://schemas.openxmlformats.org/drawingml/2006/main">
                <a:ext uri="{FF2B5EF4-FFF2-40B4-BE49-F238E27FC236}">
                  <a16:creationId xmlns:a16="http://schemas.microsoft.com/office/drawing/2014/main" id="{E72E937D-70A1-ED48-291F-4B3B62CEE1E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72E937D-70A1-ED48-291F-4B3B62CEE1E3}"/>
                        </a:ext>
                      </a:extLst>
                    </pic:cNvPr>
                    <pic:cNvPicPr>
                      <a:picLocks/>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012440"/>
                    </a:xfrm>
                    <a:prstGeom prst="rect">
                      <a:avLst/>
                    </a:prstGeom>
                  </pic:spPr>
                </pic:pic>
              </a:graphicData>
            </a:graphic>
          </wp:inline>
        </w:drawing>
      </w:r>
    </w:p>
    <w:p w14:paraId="1F0B97CF" w14:textId="77777777" w:rsidR="0021163A" w:rsidRPr="0034529A" w:rsidRDefault="0021163A" w:rsidP="0021163A">
      <w:pPr>
        <w:pStyle w:val="Caption"/>
        <w:jc w:val="both"/>
        <w:rPr>
          <w:lang w:val="en-US"/>
        </w:rPr>
      </w:pPr>
      <w:r w:rsidRPr="0034529A">
        <w:rPr>
          <w:b/>
          <w:bCs/>
          <w:lang w:val="en-US"/>
        </w:rPr>
        <w:t>Sup. Figure 4.</w:t>
      </w:r>
      <w:r w:rsidRPr="0034529A">
        <w:rPr>
          <w:lang w:val="en-US"/>
        </w:rPr>
        <w:t xml:space="preserve"> Engagement Index (EI)</w:t>
      </w:r>
      <w:r>
        <w:rPr>
          <w:lang w:val="en-US"/>
        </w:rPr>
        <w:t xml:space="preserve">, </w:t>
      </w:r>
      <w:r w:rsidRPr="0034529A">
        <w:rPr>
          <w:lang w:val="en-US"/>
        </w:rPr>
        <w:t xml:space="preserve">defined as EI = ln[β̄] − ln[ᾱ + θ̄], where the overbar denotes the mean over all 19 electrodes; the log-ratio formulation yields the negative values observed, as alpha and theta power jointly exceed beta power across the lifespan under resting eyes-closed conditions. The normative trajectory shows a gradual increase with age across all electrodes, consistent with a progressive shift toward relatively greater beta activity — reflecting increasing cortical activation efficiency and reduced slow-wave dominance — from childhood through adulthood (Pope et al. 1995). Inter-individual variability is largest in childhood and decreases progressively with age, resulting in a narrowing normative band in </w:t>
      </w:r>
      <w:r>
        <w:rPr>
          <w:lang w:val="en-US"/>
        </w:rPr>
        <w:t>adults</w:t>
      </w:r>
      <w:r w:rsidRPr="0034529A">
        <w:rPr>
          <w:lang w:val="en-US"/>
        </w:rPr>
        <w:t xml:space="preserve"> and </w:t>
      </w:r>
      <w:r>
        <w:rPr>
          <w:lang w:val="en-US"/>
        </w:rPr>
        <w:t>older adults</w:t>
      </w:r>
      <w:r w:rsidRPr="0034529A">
        <w:rPr>
          <w:lang w:val="en-US"/>
        </w:rPr>
        <w:t>.</w:t>
      </w:r>
      <w:r w:rsidRPr="0034529A">
        <w:fldChar w:fldCharType="begin"/>
      </w:r>
      <w:r w:rsidRPr="0034529A">
        <w:rPr>
          <w:lang w:val="en-US"/>
        </w:rPr>
        <w:instrText xml:space="preserve"> SEQ Sup._Figure \* ARABIC </w:instrText>
      </w:r>
      <w:r w:rsidRPr="0034529A">
        <w:fldChar w:fldCharType="separate"/>
      </w:r>
      <w:r w:rsidRPr="0034529A">
        <w:fldChar w:fldCharType="end"/>
      </w:r>
    </w:p>
    <w:p w14:paraId="1ACB9804" w14:textId="77777777" w:rsidR="0021163A" w:rsidRPr="0034529A" w:rsidRDefault="0021163A" w:rsidP="0021163A">
      <w:pPr>
        <w:keepNext/>
        <w:spacing w:after="160" w:line="276" w:lineRule="auto"/>
        <w:jc w:val="both"/>
      </w:pPr>
      <w:r w:rsidRPr="0034529A">
        <w:rPr>
          <w:noProof/>
        </w:rPr>
        <w:drawing>
          <wp:inline distT="0" distB="0" distL="0" distR="0" wp14:anchorId="5262249E" wp14:editId="1A23A701">
            <wp:extent cx="5943600" cy="3012440"/>
            <wp:effectExtent l="0" t="0" r="0" b="0"/>
            <wp:docPr id="1602510306" name="Picture 3">
              <a:extLst xmlns:a="http://schemas.openxmlformats.org/drawingml/2006/main">
                <a:ext uri="{FF2B5EF4-FFF2-40B4-BE49-F238E27FC236}">
                  <a16:creationId xmlns:a16="http://schemas.microsoft.com/office/drawing/2014/main" id="{E085483E-2739-47AB-D824-444922DA5B9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085483E-2739-47AB-D824-444922DA5B95}"/>
                        </a:ext>
                      </a:extLst>
                    </pic:cNvPr>
                    <pic:cNvPicPr>
                      <a:picLock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12440"/>
                    </a:xfrm>
                    <a:prstGeom prst="rect">
                      <a:avLst/>
                    </a:prstGeom>
                  </pic:spPr>
                </pic:pic>
              </a:graphicData>
            </a:graphic>
          </wp:inline>
        </w:drawing>
      </w:r>
    </w:p>
    <w:p w14:paraId="0F93820C" w14:textId="77777777" w:rsidR="0021163A" w:rsidRPr="0034529A" w:rsidRDefault="0021163A" w:rsidP="0021163A">
      <w:pPr>
        <w:pStyle w:val="Caption"/>
        <w:jc w:val="both"/>
        <w:rPr>
          <w:lang w:val="en-US"/>
        </w:rPr>
      </w:pPr>
      <w:r w:rsidRPr="0034529A">
        <w:rPr>
          <w:b/>
          <w:bCs/>
          <w:lang w:val="en-US"/>
        </w:rPr>
        <w:t>Sup. Figure 5.</w:t>
      </w:r>
      <w:r w:rsidRPr="0034529A">
        <w:rPr>
          <w:lang w:val="en-US"/>
        </w:rPr>
        <w:t xml:space="preserve"> Theta/High-Beta Ratio</w:t>
      </w:r>
      <w:r>
        <w:rPr>
          <w:lang w:val="en-US"/>
        </w:rPr>
        <w:t xml:space="preserve">, </w:t>
      </w:r>
      <w:r w:rsidRPr="0034529A">
        <w:rPr>
          <w:lang w:val="en-US"/>
        </w:rPr>
        <w:t>defined as ln[θ(</w:t>
      </w:r>
      <w:proofErr w:type="spellStart"/>
      <w:r w:rsidRPr="0034529A">
        <w:rPr>
          <w:lang w:val="en-US"/>
        </w:rPr>
        <w:t>ch</w:t>
      </w:r>
      <w:proofErr w:type="spellEnd"/>
      <w:r w:rsidRPr="0034529A">
        <w:rPr>
          <w:lang w:val="en-US"/>
        </w:rPr>
        <w:t>)] − ln[β_Hi(</w:t>
      </w:r>
      <w:proofErr w:type="spellStart"/>
      <w:r w:rsidRPr="0034529A">
        <w:rPr>
          <w:lang w:val="en-US"/>
        </w:rPr>
        <w:t>ch</w:t>
      </w:r>
      <w:proofErr w:type="spellEnd"/>
      <w:r w:rsidRPr="0034529A">
        <w:rPr>
          <w:lang w:val="en-US"/>
        </w:rPr>
        <w:t>)], where β_Hi denotes power in the high-beta sub-band (~</w:t>
      </w:r>
      <w:r>
        <w:rPr>
          <w:lang w:val="en-US"/>
        </w:rPr>
        <w:t>15</w:t>
      </w:r>
      <w:r w:rsidRPr="0034529A">
        <w:rPr>
          <w:lang w:val="en-US"/>
        </w:rPr>
        <w:t xml:space="preserve">–30 Hz). The developmental trajectory closely parallels that of the broadband TBR (Supplementary Figure 1), with a pronounced age-dependent decrease from childhood to early adulthood across all electrodes. Values are systematically higher than broadband TBR at comparable ages, reflecting the lower absolute power in the high-beta sub-band relative to the full beta band. The frontal predominance of the ratio and its sensitivity to attentional regulation are preserved, making this index a complementary marker of cortical arousal with particular relevance for neurofeedback protocols targeting the high-beta range (Arns et al. 2013; </w:t>
      </w:r>
      <w:proofErr w:type="spellStart"/>
      <w:r w:rsidRPr="0034529A">
        <w:rPr>
          <w:lang w:val="en-US"/>
        </w:rPr>
        <w:t>Ogrim</w:t>
      </w:r>
      <w:proofErr w:type="spellEnd"/>
      <w:r w:rsidRPr="0034529A">
        <w:rPr>
          <w:lang w:val="en-US"/>
        </w:rPr>
        <w:t xml:space="preserve"> et al. 2012).</w:t>
      </w:r>
      <w:r w:rsidRPr="0034529A">
        <w:fldChar w:fldCharType="begin"/>
      </w:r>
      <w:r w:rsidRPr="0034529A">
        <w:rPr>
          <w:lang w:val="en-US"/>
        </w:rPr>
        <w:instrText xml:space="preserve"> SEQ Sup._Figure \* ARABIC </w:instrText>
      </w:r>
      <w:r w:rsidRPr="0034529A">
        <w:fldChar w:fldCharType="separate"/>
      </w:r>
      <w:r w:rsidRPr="0034529A">
        <w:fldChar w:fldCharType="end"/>
      </w:r>
    </w:p>
    <w:p w14:paraId="28F0C51D" w14:textId="77777777" w:rsidR="0021163A" w:rsidRDefault="0021163A" w:rsidP="0021163A">
      <w:pPr>
        <w:keepNext/>
        <w:spacing w:after="160" w:line="276" w:lineRule="auto"/>
        <w:jc w:val="both"/>
      </w:pPr>
      <w:r>
        <w:rPr>
          <w:noProof/>
        </w:rPr>
        <w:lastRenderedPageBreak/>
        <w:drawing>
          <wp:inline distT="0" distB="0" distL="0" distR="0" wp14:anchorId="64CA9087" wp14:editId="4A17699A">
            <wp:extent cx="5943600" cy="3012440"/>
            <wp:effectExtent l="0" t="0" r="0" b="0"/>
            <wp:docPr id="1619442976" name="Picture 3">
              <a:extLst xmlns:a="http://schemas.openxmlformats.org/drawingml/2006/main">
                <a:ext uri="{FF2B5EF4-FFF2-40B4-BE49-F238E27FC236}">
                  <a16:creationId xmlns:a16="http://schemas.microsoft.com/office/drawing/2014/main" id="{E1CCABEA-4B70-8F22-9988-7ED3788DABC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1CCABEA-4B70-8F22-9988-7ED3788DABC7}"/>
                        </a:ext>
                      </a:extLst>
                    </pic:cNvPr>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12440"/>
                    </a:xfrm>
                    <a:prstGeom prst="rect">
                      <a:avLst/>
                    </a:prstGeom>
                  </pic:spPr>
                </pic:pic>
              </a:graphicData>
            </a:graphic>
          </wp:inline>
        </w:drawing>
      </w:r>
    </w:p>
    <w:p w14:paraId="37C6B4F4" w14:textId="77777777" w:rsidR="0021163A" w:rsidRPr="00DE7AB6" w:rsidRDefault="0021163A" w:rsidP="0021163A">
      <w:pPr>
        <w:pStyle w:val="Caption"/>
        <w:jc w:val="both"/>
        <w:rPr>
          <w:lang w:val="en-US"/>
        </w:rPr>
      </w:pPr>
      <w:r>
        <w:rPr>
          <w:b/>
          <w:bCs/>
          <w:lang w:val="en-US"/>
        </w:rPr>
        <w:t xml:space="preserve">Sup. Figure </w:t>
      </w:r>
      <w:r>
        <w:rPr>
          <w:b/>
          <w:bCs/>
        </w:rPr>
        <w:fldChar w:fldCharType="begin"/>
      </w:r>
      <w:r>
        <w:rPr>
          <w:b/>
          <w:bCs/>
          <w:lang w:val="en-US"/>
        </w:rPr>
        <w:instrText xml:space="preserve"> SEQ Sup._Figure \* ARABIC </w:instrText>
      </w:r>
      <w:r>
        <w:rPr>
          <w:b/>
          <w:bCs/>
        </w:rPr>
        <w:fldChar w:fldCharType="separate"/>
      </w:r>
      <w:r>
        <w:rPr>
          <w:b/>
          <w:bCs/>
          <w:noProof/>
          <w:lang w:val="en-US"/>
        </w:rPr>
        <w:t>6</w:t>
      </w:r>
      <w:r>
        <w:rPr>
          <w:b/>
          <w:bCs/>
        </w:rPr>
        <w:fldChar w:fldCharType="end"/>
      </w:r>
      <w:r>
        <w:rPr>
          <w:lang w:val="en-US"/>
        </w:rPr>
        <w:t>. Delta/High-Beta Ratio, defined as ln[</w:t>
      </w:r>
      <w:r>
        <w:t>δ</w:t>
      </w:r>
      <w:r>
        <w:rPr>
          <w:lang w:val="en-US"/>
        </w:rPr>
        <w:t>(</w:t>
      </w:r>
      <w:proofErr w:type="spellStart"/>
      <w:r>
        <w:rPr>
          <w:lang w:val="en-US"/>
        </w:rPr>
        <w:t>ch</w:t>
      </w:r>
      <w:proofErr w:type="spellEnd"/>
      <w:r>
        <w:rPr>
          <w:lang w:val="en-US"/>
        </w:rPr>
        <w:t>)] − ln[</w:t>
      </w:r>
      <w:r>
        <w:t>β</w:t>
      </w:r>
      <w:r>
        <w:rPr>
          <w:lang w:val="en-US"/>
        </w:rPr>
        <w:t>_Hi(</w:t>
      </w:r>
      <w:proofErr w:type="spellStart"/>
      <w:r>
        <w:rPr>
          <w:lang w:val="en-US"/>
        </w:rPr>
        <w:t>ch</w:t>
      </w:r>
      <w:proofErr w:type="spellEnd"/>
      <w:r>
        <w:rPr>
          <w:lang w:val="en-US"/>
        </w:rPr>
        <w:t xml:space="preserve">)], where </w:t>
      </w:r>
      <w:r>
        <w:t>β</w:t>
      </w:r>
      <w:r>
        <w:rPr>
          <w:lang w:val="en-US"/>
        </w:rPr>
        <w:t xml:space="preserve">_Hi denotes power in the high-beta sub-band (~15–30 Hz). The index captures the balance between infra-slow delta oscillations and fast cortical </w:t>
      </w:r>
      <w:proofErr w:type="gramStart"/>
      <w:r>
        <w:rPr>
          <w:lang w:val="en-US"/>
        </w:rPr>
        <w:t>activity, and</w:t>
      </w:r>
      <w:proofErr w:type="gramEnd"/>
      <w:r>
        <w:rPr>
          <w:lang w:val="en-US"/>
        </w:rPr>
        <w:t xml:space="preserve"> shows a pronounced age-dependent decrease across all electrodes, most marked in frontal and central regions. The steeper descent compared to TBR reflects the combined contribution of both delta reduction and high-beta maturation during development. Notably, values at temporal electrodes (T3, T4, T5, T6) show greater inter-individual variability and a wider normative band relative to midline sites, consistent with the higher variability of delta activity in lateral temporal regions. Elevated Delta/Beta(Hi) has been associated with cortical hypoactivation and is sensitive to disorders of consciousness and severe attentional dysregulation.</w:t>
      </w:r>
    </w:p>
    <w:p w14:paraId="5D18B471" w14:textId="77777777" w:rsidR="0021163A" w:rsidRDefault="0021163A" w:rsidP="0021163A">
      <w:pPr>
        <w:keepNext/>
        <w:spacing w:after="160" w:line="276" w:lineRule="auto"/>
        <w:jc w:val="both"/>
      </w:pPr>
      <w:r>
        <w:rPr>
          <w:noProof/>
        </w:rPr>
        <w:drawing>
          <wp:inline distT="0" distB="0" distL="0" distR="0" wp14:anchorId="7F3B1B9F" wp14:editId="199FAB6F">
            <wp:extent cx="5943600" cy="3383182"/>
            <wp:effectExtent l="0" t="0" r="0" b="8255"/>
            <wp:docPr id="241308424" name="Picture 3">
              <a:extLst xmlns:a="http://schemas.openxmlformats.org/drawingml/2006/main">
                <a:ext uri="{FF2B5EF4-FFF2-40B4-BE49-F238E27FC236}">
                  <a16:creationId xmlns:a16="http://schemas.microsoft.com/office/drawing/2014/main" id="{597F8E1D-4BA4-6AAF-F01B-8D439E8B1BB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97F8E1D-4BA4-6AAF-F01B-8D439E8B1BBA}"/>
                        </a:ext>
                      </a:extLst>
                    </pic:cNvPr>
                    <pic:cNvPicPr>
                      <a:picLocks/>
                    </pic:cNvPicPr>
                  </pic:nvPicPr>
                  <pic:blipFill rotWithShape="1">
                    <a:blip r:embed="rId10" cstate="print">
                      <a:extLst>
                        <a:ext uri="{28A0092B-C50C-407E-A947-70E740481C1C}">
                          <a14:useLocalDpi xmlns:a14="http://schemas.microsoft.com/office/drawing/2010/main" val="0"/>
                        </a:ext>
                      </a:extLst>
                    </a:blip>
                    <a:srcRect t="3024"/>
                    <a:stretch>
                      <a:fillRect/>
                    </a:stretch>
                  </pic:blipFill>
                  <pic:spPr bwMode="auto">
                    <a:xfrm>
                      <a:off x="0" y="0"/>
                      <a:ext cx="5943600" cy="3383182"/>
                    </a:xfrm>
                    <a:prstGeom prst="rect">
                      <a:avLst/>
                    </a:prstGeom>
                    <a:ln>
                      <a:noFill/>
                    </a:ln>
                    <a:extLst>
                      <a:ext uri="{53640926-AAD7-44D8-BBD7-CCE9431645EC}">
                        <a14:shadowObscured xmlns:a14="http://schemas.microsoft.com/office/drawing/2010/main"/>
                      </a:ext>
                    </a:extLst>
                  </pic:spPr>
                </pic:pic>
              </a:graphicData>
            </a:graphic>
          </wp:inline>
        </w:drawing>
      </w:r>
    </w:p>
    <w:p w14:paraId="17CF3343" w14:textId="77777777" w:rsidR="0021163A" w:rsidRPr="00821674" w:rsidRDefault="0021163A" w:rsidP="0021163A">
      <w:pPr>
        <w:pStyle w:val="Caption"/>
        <w:spacing w:after="0"/>
        <w:jc w:val="both"/>
        <w:rPr>
          <w:lang w:val="en-US"/>
        </w:rPr>
      </w:pPr>
      <w:r>
        <w:rPr>
          <w:b/>
          <w:bCs/>
          <w:lang w:val="en-US"/>
        </w:rPr>
        <w:t xml:space="preserve">Sup. Figure </w:t>
      </w:r>
      <w:r>
        <w:rPr>
          <w:b/>
          <w:bCs/>
        </w:rPr>
        <w:fldChar w:fldCharType="begin"/>
      </w:r>
      <w:r>
        <w:rPr>
          <w:b/>
          <w:bCs/>
          <w:lang w:val="en-US"/>
        </w:rPr>
        <w:instrText xml:space="preserve"> SEQ Sup._Figure \* ARABIC </w:instrText>
      </w:r>
      <w:r>
        <w:rPr>
          <w:b/>
          <w:bCs/>
        </w:rPr>
        <w:fldChar w:fldCharType="separate"/>
      </w:r>
      <w:r>
        <w:rPr>
          <w:b/>
          <w:bCs/>
          <w:noProof/>
          <w:lang w:val="en-US"/>
        </w:rPr>
        <w:t>7</w:t>
      </w:r>
      <w:r>
        <w:rPr>
          <w:b/>
          <w:bCs/>
        </w:rPr>
        <w:fldChar w:fldCharType="end"/>
      </w:r>
      <w:r>
        <w:rPr>
          <w:b/>
          <w:bCs/>
          <w:lang w:val="en-US"/>
        </w:rPr>
        <w:t>. Age-dependent normative centile curves for hemispheric ratio asymmetry indices based on Delta/Beta(Hi) and Theta/Beta(Hi) at four homologous electrode pairs.</w:t>
      </w:r>
      <w:r>
        <w:rPr>
          <w:lang w:val="en-US"/>
        </w:rPr>
        <w:t xml:space="preserve"> Each panel displays the normative trajectory for one asymmetry index at one electrode pair. </w:t>
      </w:r>
    </w:p>
    <w:p w14:paraId="02EE4D83" w14:textId="77777777" w:rsidR="0021163A" w:rsidRPr="00821674" w:rsidRDefault="0021163A" w:rsidP="0021163A">
      <w:pPr>
        <w:pStyle w:val="Caption"/>
        <w:spacing w:after="0"/>
        <w:jc w:val="both"/>
        <w:rPr>
          <w:lang w:val="en-US"/>
        </w:rPr>
      </w:pPr>
      <w:r>
        <w:rPr>
          <w:lang w:val="en-US"/>
        </w:rPr>
        <w:lastRenderedPageBreak/>
        <w:t>Top row — Delta/Beta(Hi) asymmetry: computed at four homologous pairs: F3–F4 (dorsolateral prefrontal), F7–F8 (lateral prefrontal), T3–T4 (temporal), and T5–T6 (posterior temporal). Bottom row — Theta/Beta(Hi) asymmetry: computed at the same four pairs.</w:t>
      </w:r>
    </w:p>
    <w:p w14:paraId="0B204899" w14:textId="77777777" w:rsidR="0021163A" w:rsidRPr="00821674" w:rsidRDefault="0021163A" w:rsidP="0021163A">
      <w:pPr>
        <w:pStyle w:val="Caption"/>
        <w:spacing w:after="0"/>
        <w:jc w:val="both"/>
        <w:rPr>
          <w:lang w:val="en-US"/>
        </w:rPr>
      </w:pPr>
      <w:r>
        <w:rPr>
          <w:lang w:val="en-US"/>
        </w:rPr>
        <w:t xml:space="preserve">A normative </w:t>
      </w:r>
      <w:proofErr w:type="gramStart"/>
      <w:r>
        <w:rPr>
          <w:lang w:val="en-US"/>
        </w:rPr>
        <w:t>mean</w:t>
      </w:r>
      <w:proofErr w:type="gramEnd"/>
      <w:r>
        <w:rPr>
          <w:lang w:val="en-US"/>
        </w:rPr>
        <w:t xml:space="preserve"> near zero reflects hemispheric symmetry, consistent with the healthy population. The ±1.96</w:t>
      </w:r>
      <w:r>
        <w:t>σ</w:t>
      </w:r>
      <w:r>
        <w:rPr>
          <w:lang w:val="en-US"/>
        </w:rPr>
        <w:t xml:space="preserve"> normative band widens with age, particularly at frontal pairs, reflecting increased inter-individual variability in hemispheric lateralization in adulthood and older age. Delta/Beta(Hi) asymmetry indices show a modest age-dependent decrease in normative dispersion at temporal sites, whereas Theta/Beta(Hi) asymmetry at F3–F4 shows a slight increase in the normative band width with age, consistent with the known developmental increase in frontal alpha asymmetry variability. Positive values indicate left-hemisphere dominance of the respective ratio; negative values indicate right-hemisphere dominance.</w:t>
      </w:r>
    </w:p>
    <w:p w14:paraId="708DDD4A" w14:textId="77777777" w:rsidR="0021163A" w:rsidRPr="006F651F" w:rsidRDefault="0021163A" w:rsidP="0021163A">
      <w:pPr>
        <w:pStyle w:val="Caption"/>
        <w:jc w:val="both"/>
        <w:rPr>
          <w:lang w:val="en-US"/>
        </w:rPr>
      </w:pPr>
    </w:p>
    <w:p w14:paraId="0D6F4A33" w14:textId="77777777" w:rsidR="0021163A" w:rsidRPr="006F651F" w:rsidRDefault="0021163A" w:rsidP="0021163A">
      <w:pPr>
        <w:spacing w:after="160" w:line="276" w:lineRule="auto"/>
        <w:jc w:val="both"/>
        <w:rPr>
          <w:lang w:val="en-US"/>
        </w:rPr>
      </w:pPr>
    </w:p>
    <w:p w14:paraId="017E477F" w14:textId="77777777" w:rsidR="0021163A" w:rsidRPr="006F651F" w:rsidRDefault="0021163A" w:rsidP="0021163A">
      <w:pPr>
        <w:spacing w:after="160" w:line="276" w:lineRule="auto"/>
        <w:jc w:val="both"/>
        <w:rPr>
          <w:lang w:val="en-US"/>
        </w:rPr>
      </w:pPr>
    </w:p>
    <w:p w14:paraId="648972C1" w14:textId="77777777" w:rsidR="0021163A" w:rsidRDefault="0021163A" w:rsidP="0021163A">
      <w:pPr>
        <w:keepNext/>
        <w:spacing w:after="160" w:line="276" w:lineRule="auto"/>
        <w:jc w:val="both"/>
      </w:pPr>
      <w:r>
        <w:rPr>
          <w:noProof/>
        </w:rPr>
        <w:drawing>
          <wp:inline distT="0" distB="0" distL="0" distR="0" wp14:anchorId="1D8080CA" wp14:editId="65D99973">
            <wp:extent cx="5943600" cy="3386113"/>
            <wp:effectExtent l="0" t="0" r="0" b="5080"/>
            <wp:docPr id="996994537" name="Picture 3">
              <a:extLst xmlns:a="http://schemas.openxmlformats.org/drawingml/2006/main">
                <a:ext uri="{FF2B5EF4-FFF2-40B4-BE49-F238E27FC236}">
                  <a16:creationId xmlns:a16="http://schemas.microsoft.com/office/drawing/2014/main" id="{94990DBE-3333-B830-3987-AE166938331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4990DBE-3333-B830-3987-AE1669383318}"/>
                        </a:ext>
                      </a:extLst>
                    </pic:cNvPr>
                    <pic:cNvPicPr>
                      <a:picLocks/>
                    </pic:cNvPicPr>
                  </pic:nvPicPr>
                  <pic:blipFill rotWithShape="1">
                    <a:blip r:embed="rId11" cstate="print">
                      <a:extLst>
                        <a:ext uri="{28A0092B-C50C-407E-A947-70E740481C1C}">
                          <a14:useLocalDpi xmlns:a14="http://schemas.microsoft.com/office/drawing/2010/main" val="0"/>
                        </a:ext>
                      </a:extLst>
                    </a:blip>
                    <a:srcRect t="2940" b="-1"/>
                    <a:stretch>
                      <a:fillRect/>
                    </a:stretch>
                  </pic:blipFill>
                  <pic:spPr bwMode="auto">
                    <a:xfrm>
                      <a:off x="0" y="0"/>
                      <a:ext cx="5943600" cy="3386113"/>
                    </a:xfrm>
                    <a:prstGeom prst="rect">
                      <a:avLst/>
                    </a:prstGeom>
                    <a:ln>
                      <a:noFill/>
                    </a:ln>
                    <a:extLst>
                      <a:ext uri="{53640926-AAD7-44D8-BBD7-CCE9431645EC}">
                        <a14:shadowObscured xmlns:a14="http://schemas.microsoft.com/office/drawing/2010/main"/>
                      </a:ext>
                    </a:extLst>
                  </pic:spPr>
                </pic:pic>
              </a:graphicData>
            </a:graphic>
          </wp:inline>
        </w:drawing>
      </w:r>
    </w:p>
    <w:p w14:paraId="080448FC" w14:textId="77777777" w:rsidR="0021163A" w:rsidRPr="006F0274" w:rsidRDefault="0021163A" w:rsidP="0021163A">
      <w:pPr>
        <w:pStyle w:val="Caption"/>
        <w:spacing w:after="0"/>
        <w:jc w:val="both"/>
        <w:rPr>
          <w:lang w:val="en-US"/>
        </w:rPr>
      </w:pPr>
      <w:r>
        <w:rPr>
          <w:b/>
          <w:bCs/>
          <w:lang w:val="en-US"/>
        </w:rPr>
        <w:t xml:space="preserve">Sup. Figure </w:t>
      </w:r>
      <w:r>
        <w:rPr>
          <w:b/>
          <w:bCs/>
        </w:rPr>
        <w:fldChar w:fldCharType="begin"/>
      </w:r>
      <w:r>
        <w:rPr>
          <w:b/>
          <w:bCs/>
          <w:lang w:val="en-US"/>
        </w:rPr>
        <w:instrText xml:space="preserve"> SEQ Sup._Figure \* ARABIC </w:instrText>
      </w:r>
      <w:r>
        <w:rPr>
          <w:b/>
          <w:bCs/>
        </w:rPr>
        <w:fldChar w:fldCharType="separate"/>
      </w:r>
      <w:r>
        <w:rPr>
          <w:b/>
          <w:bCs/>
          <w:noProof/>
          <w:lang w:val="en-US"/>
        </w:rPr>
        <w:t>8</w:t>
      </w:r>
      <w:r>
        <w:rPr>
          <w:b/>
          <w:bCs/>
        </w:rPr>
        <w:fldChar w:fldCharType="end"/>
      </w:r>
      <w:r>
        <w:rPr>
          <w:b/>
          <w:bCs/>
          <w:lang w:val="en-US"/>
        </w:rPr>
        <w:t>. Age-dependent normative centile curves for global functional state indices and frontocentral spectral ratios.</w:t>
      </w:r>
      <w:r>
        <w:rPr>
          <w:lang w:val="en-US"/>
        </w:rPr>
        <w:t xml:space="preserve"> </w:t>
      </w:r>
      <w:r>
        <w:rPr>
          <w:b/>
          <w:bCs/>
          <w:lang w:val="en-US"/>
        </w:rPr>
        <w:t>(Top left) Arousal Index (AI):</w:t>
      </w:r>
      <w:r>
        <w:rPr>
          <w:lang w:val="en-US"/>
        </w:rPr>
        <w:t xml:space="preserve"> defined as </w:t>
      </w:r>
      <w:r>
        <w:t>β</w:t>
      </w:r>
      <w:r>
        <w:rPr>
          <w:lang w:val="en-US"/>
        </w:rPr>
        <w:t>̄_F / (</w:t>
      </w:r>
      <w:r>
        <w:t>δ</w:t>
      </w:r>
      <w:r>
        <w:rPr>
          <w:lang w:val="en-US"/>
        </w:rPr>
        <w:t xml:space="preserve">̄_F + </w:t>
      </w:r>
      <w:r>
        <w:t>θ</w:t>
      </w:r>
      <w:r>
        <w:rPr>
          <w:lang w:val="en-US"/>
        </w:rPr>
        <w:t xml:space="preserve">̄_F), where the overbar denotes the mean over the frontal cluster F3, F4, </w:t>
      </w:r>
      <w:proofErr w:type="spellStart"/>
      <w:r>
        <w:rPr>
          <w:lang w:val="en-US"/>
        </w:rPr>
        <w:t>Cz</w:t>
      </w:r>
      <w:proofErr w:type="spellEnd"/>
      <w:r>
        <w:rPr>
          <w:lang w:val="en-US"/>
        </w:rPr>
        <w:t>. The normative trajectory increases monotonically with age, reflecting progressive frontal fast-wave dominance across the lifespan, with the largest inter-individual variability in childhood and early adolescence.</w:t>
      </w:r>
    </w:p>
    <w:p w14:paraId="27709595" w14:textId="77777777" w:rsidR="0021163A" w:rsidRPr="006F0274" w:rsidRDefault="0021163A" w:rsidP="0021163A">
      <w:pPr>
        <w:pStyle w:val="Caption"/>
        <w:spacing w:after="0"/>
        <w:jc w:val="both"/>
        <w:rPr>
          <w:lang w:val="en-US"/>
        </w:rPr>
      </w:pPr>
      <w:r>
        <w:rPr>
          <w:b/>
          <w:bCs/>
          <w:lang w:val="en-US"/>
        </w:rPr>
        <w:t xml:space="preserve">(Top right) Valence Index (FAA): </w:t>
      </w:r>
      <w:r w:rsidRPr="0034529A">
        <w:rPr>
          <w:lang w:val="en-US"/>
        </w:rPr>
        <w:t xml:space="preserve">defined as ln[α(F4)] − ln[α(F3)]. The normative </w:t>
      </w:r>
      <w:proofErr w:type="gramStart"/>
      <w:r w:rsidRPr="0034529A">
        <w:rPr>
          <w:lang w:val="en-US"/>
        </w:rPr>
        <w:t>mean remains</w:t>
      </w:r>
      <w:proofErr w:type="gramEnd"/>
      <w:r w:rsidRPr="0034529A">
        <w:rPr>
          <w:lang w:val="en-US"/>
        </w:rPr>
        <w:t xml:space="preserve"> near zero across the lifespan, consistent with hemispheric alpha symmetry in the healthy population. The normative band is wide and nearly constant across ages, reflecting high inter-individual variability in frontal alpha lateralization that is independent of age — a well-known property of FAA in healthy samples (Allen et al. 2018; Davidson 1998). The vertical clustering of observations around ages 15–20 reflects the higher density of adolescent subjects in the normative database.</w:t>
      </w:r>
    </w:p>
    <w:p w14:paraId="25274B26" w14:textId="77777777" w:rsidR="0021163A" w:rsidRPr="006F0274" w:rsidRDefault="0021163A" w:rsidP="0021163A">
      <w:pPr>
        <w:pStyle w:val="Caption"/>
        <w:spacing w:after="0"/>
        <w:jc w:val="both"/>
        <w:rPr>
          <w:lang w:val="en-US"/>
        </w:rPr>
      </w:pPr>
      <w:r>
        <w:rPr>
          <w:b/>
          <w:bCs/>
          <w:lang w:val="en-US"/>
        </w:rPr>
        <w:t xml:space="preserve">(Bottom left) </w:t>
      </w:r>
      <w:proofErr w:type="spellStart"/>
      <w:r>
        <w:rPr>
          <w:b/>
          <w:bCs/>
          <w:lang w:val="en-US"/>
        </w:rPr>
        <w:t>FrontoCentral</w:t>
      </w:r>
      <w:proofErr w:type="spellEnd"/>
      <w:r>
        <w:rPr>
          <w:b/>
          <w:bCs/>
          <w:lang w:val="en-US"/>
        </w:rPr>
        <w:t xml:space="preserve"> Theta/Beta(Hi) [FC-TBR(Hi)]:</w:t>
      </w:r>
      <w:r>
        <w:rPr>
          <w:lang w:val="en-US"/>
        </w:rPr>
        <w:t xml:space="preserve"> defined as ln[</w:t>
      </w:r>
      <w:r>
        <w:t>θ</w:t>
      </w:r>
      <w:r>
        <w:rPr>
          <w:lang w:val="en-US"/>
        </w:rPr>
        <w:t>̄_{F3,F4,Cz}] − ln[</w:t>
      </w:r>
      <w:r>
        <w:t>β</w:t>
      </w:r>
      <w:r>
        <w:rPr>
          <w:lang w:val="en-US"/>
        </w:rPr>
        <w:t>_Hi̅_{F3,F4,Cz}]. The trajectory shows a pronounced age-dependent decrease from childhood to adulthood, with a wide normative band in childhood that narrows progressively, consistent with the maturation of frontocentral attentional regulation networks.</w:t>
      </w:r>
    </w:p>
    <w:p w14:paraId="6F7AB85C" w14:textId="77777777" w:rsidR="0021163A" w:rsidRPr="006F0274" w:rsidRDefault="0021163A" w:rsidP="0021163A">
      <w:pPr>
        <w:pStyle w:val="Caption"/>
        <w:spacing w:after="0"/>
        <w:jc w:val="both"/>
        <w:rPr>
          <w:lang w:val="en-US"/>
        </w:rPr>
      </w:pPr>
      <w:r>
        <w:rPr>
          <w:b/>
          <w:bCs/>
          <w:lang w:val="en-US"/>
        </w:rPr>
        <w:t xml:space="preserve">(Bottom right) </w:t>
      </w:r>
      <w:proofErr w:type="spellStart"/>
      <w:r>
        <w:rPr>
          <w:b/>
          <w:bCs/>
          <w:lang w:val="en-US"/>
        </w:rPr>
        <w:t>FrontoCentral</w:t>
      </w:r>
      <w:proofErr w:type="spellEnd"/>
      <w:r>
        <w:rPr>
          <w:b/>
          <w:bCs/>
          <w:lang w:val="en-US"/>
        </w:rPr>
        <w:t xml:space="preserve"> Delta/Beta(Hi) [FC-DBR(Hi)]:</w:t>
      </w:r>
      <w:r>
        <w:rPr>
          <w:lang w:val="en-US"/>
        </w:rPr>
        <w:t xml:space="preserve"> defined as ln[</w:t>
      </w:r>
      <w:r>
        <w:t>δ</w:t>
      </w:r>
      <w:r>
        <w:rPr>
          <w:lang w:val="en-US"/>
        </w:rPr>
        <w:t>̄_{F3,F4,Cz}] − ln[</w:t>
      </w:r>
      <w:r>
        <w:t>β</w:t>
      </w:r>
      <w:r>
        <w:rPr>
          <w:lang w:val="en-US"/>
        </w:rPr>
        <w:t>_Hi̅_{F3,F4,Cz}]. The developmental pattern parallels FC-TBR(Hi) but shows a steeper descent and wider normative band, particularly in childhood, reflecting the additional contribution of delta reduction to frontocentral maturational change.</w:t>
      </w:r>
    </w:p>
    <w:p w14:paraId="51FF8D2B" w14:textId="77777777" w:rsidR="0021163A" w:rsidRPr="006F651F" w:rsidRDefault="0021163A" w:rsidP="0021163A">
      <w:pPr>
        <w:spacing w:after="160" w:line="276" w:lineRule="auto"/>
        <w:jc w:val="both"/>
        <w:rPr>
          <w:lang w:val="en-US"/>
        </w:rPr>
      </w:pPr>
    </w:p>
    <w:p w14:paraId="53D78C40" w14:textId="77777777" w:rsidR="0021163A" w:rsidRPr="006F651F" w:rsidRDefault="0021163A" w:rsidP="0021163A">
      <w:pPr>
        <w:spacing w:after="160" w:line="276" w:lineRule="auto"/>
        <w:jc w:val="both"/>
        <w:rPr>
          <w:lang w:val="en-US"/>
        </w:rPr>
      </w:pPr>
    </w:p>
    <w:p w14:paraId="0F2C6718" w14:textId="77777777" w:rsidR="0021163A" w:rsidRDefault="0021163A" w:rsidP="0021163A">
      <w:pPr>
        <w:keepNext/>
        <w:spacing w:after="160" w:line="276" w:lineRule="auto"/>
        <w:jc w:val="both"/>
      </w:pPr>
      <w:r>
        <w:rPr>
          <w:noProof/>
        </w:rPr>
        <w:lastRenderedPageBreak/>
        <w:drawing>
          <wp:inline distT="0" distB="0" distL="0" distR="0" wp14:anchorId="67E0C956" wp14:editId="3598CC0C">
            <wp:extent cx="5943600" cy="3027680"/>
            <wp:effectExtent l="0" t="0" r="0" b="1270"/>
            <wp:docPr id="1052122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2297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27680"/>
                    </a:xfrm>
                    <a:prstGeom prst="rect">
                      <a:avLst/>
                    </a:prstGeom>
                  </pic:spPr>
                </pic:pic>
              </a:graphicData>
            </a:graphic>
          </wp:inline>
        </w:drawing>
      </w:r>
    </w:p>
    <w:p w14:paraId="357BB027" w14:textId="77777777" w:rsidR="0021163A" w:rsidRPr="009866A4" w:rsidRDefault="0021163A" w:rsidP="0021163A">
      <w:pPr>
        <w:pStyle w:val="Caption"/>
        <w:jc w:val="both"/>
        <w:rPr>
          <w:lang w:val="en-US"/>
        </w:rPr>
      </w:pPr>
      <w:r>
        <w:rPr>
          <w:b/>
          <w:bCs/>
          <w:lang w:val="en-US"/>
        </w:rPr>
        <w:t xml:space="preserve">Sup. Figure </w:t>
      </w:r>
      <w:r>
        <w:rPr>
          <w:b/>
          <w:bCs/>
        </w:rPr>
        <w:fldChar w:fldCharType="begin"/>
      </w:r>
      <w:r>
        <w:rPr>
          <w:b/>
          <w:bCs/>
          <w:lang w:val="en-US"/>
        </w:rPr>
        <w:instrText xml:space="preserve"> SEQ Sup._Figure \* ARABIC </w:instrText>
      </w:r>
      <w:r>
        <w:rPr>
          <w:b/>
          <w:bCs/>
        </w:rPr>
        <w:fldChar w:fldCharType="separate"/>
      </w:r>
      <w:r>
        <w:rPr>
          <w:b/>
          <w:bCs/>
          <w:noProof/>
          <w:lang w:val="en-US"/>
        </w:rPr>
        <w:t>9</w:t>
      </w:r>
      <w:r>
        <w:rPr>
          <w:b/>
          <w:bCs/>
        </w:rPr>
        <w:fldChar w:fldCharType="end"/>
      </w:r>
      <w:r>
        <w:rPr>
          <w:b/>
          <w:bCs/>
          <w:lang w:val="en-US"/>
        </w:rPr>
        <w:t>. Arousal–Valence distribution of the normative sample mapped onto the circumplex model of affect.</w:t>
      </w:r>
      <w:r>
        <w:rPr>
          <w:lang w:val="en-US"/>
        </w:rPr>
        <w:t xml:space="preserve"> Each white dot represents one individual. The circular space is partitioned into four quadrants according to the two-dimensional valence–arousal framework (Russell, 1980): high arousal / pleasant (yellow, upper right), high arousal / unpleasant (pink, upper left), low arousal / pleasant (blue, lower right), and low arousal / unpleasant (grey, lower left). Emotional states labelled within each quadrant correspond to prototypical affect categories. </w:t>
      </w:r>
      <w:r>
        <w:rPr>
          <w:b/>
          <w:bCs/>
          <w:lang w:val="en-US"/>
        </w:rPr>
        <w:t>Top row:</w:t>
      </w:r>
      <w:r>
        <w:rPr>
          <w:lang w:val="en-US"/>
        </w:rPr>
        <w:t xml:space="preserve"> full-sample distributions plotted using raw index values (left) and age-corrected Z-scores (right; N = 1,564). The shift toward the center observed in the Z-score panel reflects the removal of age-related variance in both indices. </w:t>
      </w:r>
      <w:r>
        <w:rPr>
          <w:b/>
          <w:bCs/>
          <w:lang w:val="en-US"/>
        </w:rPr>
        <w:t>Bottom row:</w:t>
      </w:r>
      <w:r>
        <w:rPr>
          <w:lang w:val="en-US"/>
        </w:rPr>
        <w:t xml:space="preserve"> raw-value distributions stratified by age group (4–10 yr, N = 174; 10–20 yr, N = 452; 20–25 yr, N = 209; 25–40 yr, N = 186; 40–60 yr, N = 72; 60–100 yr, N = 198), illustrating the developmental trajectory of resting-state affective tone. Younger participants cluster preferentially in the low-arousal quadrants, whereas the distribution broadens and shifts toward higher arousal in adolescence and early adulthood.</w:t>
      </w:r>
    </w:p>
    <w:p w14:paraId="652196FE" w14:textId="77777777" w:rsidR="0021163A" w:rsidRDefault="0021163A" w:rsidP="0021163A">
      <w:pPr>
        <w:spacing w:after="160" w:line="276" w:lineRule="auto"/>
        <w:jc w:val="both"/>
        <w:rPr>
          <w:lang w:val="en-US"/>
        </w:rPr>
      </w:pPr>
    </w:p>
    <w:p w14:paraId="54AA6B69" w14:textId="77777777" w:rsidR="0021163A" w:rsidRDefault="0021163A" w:rsidP="0021163A">
      <w:pPr>
        <w:keepNext/>
        <w:spacing w:after="160" w:line="276" w:lineRule="auto"/>
        <w:jc w:val="both"/>
      </w:pPr>
      <w:r>
        <w:rPr>
          <w:b/>
          <w:bCs/>
          <w:noProof/>
          <w:lang w:val="en-US"/>
        </w:rPr>
        <w:lastRenderedPageBreak/>
        <w:drawing>
          <wp:inline distT="0" distB="0" distL="0" distR="0" wp14:anchorId="41D8C01A" wp14:editId="334E73D2">
            <wp:extent cx="5943600" cy="6606540"/>
            <wp:effectExtent l="0" t="0" r="0" b="3810"/>
            <wp:docPr id="1083103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03306" name="Picture 10831033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606540"/>
                    </a:xfrm>
                    <a:prstGeom prst="rect">
                      <a:avLst/>
                    </a:prstGeom>
                  </pic:spPr>
                </pic:pic>
              </a:graphicData>
            </a:graphic>
          </wp:inline>
        </w:drawing>
      </w:r>
    </w:p>
    <w:p w14:paraId="28E76C85" w14:textId="77777777" w:rsidR="0021163A" w:rsidRDefault="0021163A" w:rsidP="0021163A">
      <w:pPr>
        <w:pStyle w:val="Caption"/>
        <w:jc w:val="both"/>
        <w:rPr>
          <w:lang w:val="en-US"/>
        </w:rPr>
      </w:pPr>
      <w:r>
        <w:rPr>
          <w:b/>
          <w:bCs/>
          <w:lang w:val="en-US"/>
        </w:rPr>
        <w:t xml:space="preserve">Sup. Figure </w:t>
      </w:r>
      <w:r>
        <w:rPr>
          <w:b/>
          <w:bCs/>
        </w:rPr>
        <w:fldChar w:fldCharType="begin"/>
      </w:r>
      <w:r>
        <w:rPr>
          <w:b/>
          <w:bCs/>
          <w:lang w:val="en-US"/>
        </w:rPr>
        <w:instrText xml:space="preserve"> SEQ Sup._Figure \* ARABIC </w:instrText>
      </w:r>
      <w:r>
        <w:rPr>
          <w:b/>
          <w:bCs/>
        </w:rPr>
        <w:fldChar w:fldCharType="separate"/>
      </w:r>
      <w:r>
        <w:rPr>
          <w:b/>
          <w:bCs/>
          <w:noProof/>
          <w:lang w:val="en-US"/>
        </w:rPr>
        <w:t>10</w:t>
      </w:r>
      <w:r>
        <w:rPr>
          <w:b/>
          <w:bCs/>
        </w:rPr>
        <w:fldChar w:fldCharType="end"/>
      </w:r>
      <w:r>
        <w:rPr>
          <w:lang w:val="en-US"/>
        </w:rPr>
        <w:t xml:space="preserve">: </w:t>
      </w:r>
      <w:r>
        <w:rPr>
          <w:b/>
          <w:bCs/>
          <w:lang w:val="en-US"/>
        </w:rPr>
        <w:t>GAMLSS normalized residuals stratified by recording device.</w:t>
      </w:r>
      <w:r>
        <w:rPr>
          <w:lang w:val="en-US"/>
        </w:rPr>
        <w:t xml:space="preserve"> Normalized quantile residuals from GAMLSS models for three representative indices (TBR, Arousal Index, Valence/FAA; n = 1,564; 9 recording devices). Panels A, C, E: per-device residual distributions (violin plots); black dot = median, bar = IQR; dashed red line = Z = 0; dotted lines = ±1.96. Panels B, D, F: mean residual ± 1.96 SE per device; green band indicates the |Z| &lt; 0.5 region. Panel G: Q–Q plot of all pooled residuals against the standard normal (n = 8,000 random subsample). Panel H: cross-index summary of mean device residuals. Although Kruskal–Wallis tests detect statistically significant inter-device differences (driven by the large sample size), all mean deviations remain within |Z| &lt; 0.5 — well below any clinically meaningful threshold — confirming that ESN normalization adequately removes equipment-related amplitude variability before normative modeling. The overall residual distribution is approximately normal (Mean ≈ 0, SD ≈ 1.0), consistent with a well-calibrated normative model.</w:t>
      </w:r>
    </w:p>
    <w:p w14:paraId="513AE7D5" w14:textId="77777777" w:rsidR="0021163A" w:rsidRDefault="0021163A" w:rsidP="0021163A">
      <w:pPr>
        <w:rPr>
          <w:i/>
          <w:iCs/>
          <w:color w:val="0E2841" w:themeColor="text2"/>
          <w:sz w:val="18"/>
          <w:szCs w:val="18"/>
          <w:lang w:val="en-US"/>
        </w:rPr>
      </w:pPr>
      <w:r>
        <w:rPr>
          <w:lang w:val="en-US"/>
        </w:rPr>
        <w:br w:type="page"/>
      </w:r>
    </w:p>
    <w:p w14:paraId="5BDCB516" w14:textId="77777777" w:rsidR="0021163A" w:rsidRPr="00F24414" w:rsidRDefault="0021163A" w:rsidP="0021163A">
      <w:pPr>
        <w:pStyle w:val="Caption"/>
        <w:jc w:val="both"/>
        <w:rPr>
          <w:b/>
          <w:bCs/>
          <w:sz w:val="24"/>
          <w:szCs w:val="24"/>
          <w:lang w:val="en-US"/>
        </w:rPr>
      </w:pPr>
      <w:r>
        <w:rPr>
          <w:b/>
          <w:bCs/>
          <w:sz w:val="24"/>
          <w:szCs w:val="24"/>
          <w:lang w:val="en-US"/>
        </w:rPr>
        <w:lastRenderedPageBreak/>
        <w:t>Supplementary Table 1. Empirical calibration of GAMLSS normative models</w:t>
      </w:r>
    </w:p>
    <w:p w14:paraId="3D1BFD9C" w14:textId="77777777" w:rsidR="0021163A" w:rsidRPr="00AB0D24" w:rsidRDefault="0021163A" w:rsidP="0021163A">
      <w:pPr>
        <w:spacing w:after="120"/>
        <w:jc w:val="both"/>
        <w:rPr>
          <w:i/>
          <w:iCs/>
          <w:sz w:val="20"/>
          <w:szCs w:val="20"/>
          <w:lang w:val="en-US"/>
        </w:rPr>
      </w:pPr>
      <w:r w:rsidRPr="00AB0D24">
        <w:rPr>
          <w:i/>
          <w:iCs/>
          <w:sz w:val="20"/>
          <w:szCs w:val="20"/>
          <w:lang w:val="en-US"/>
        </w:rPr>
        <w:t>Percentage of normative sample with normalized quantile residuals |Z| &gt; 1.96, evaluated per index using R's internal residual diagnostics. Under a perfectly calibrated model, the expected rate is 5.0%.</w:t>
      </w:r>
    </w:p>
    <w:tbl>
      <w:tblPr>
        <w:tblStyle w:val="TableGrid"/>
        <w:tblW w:w="0" w:type="auto"/>
        <w:tblLook w:val="04A0" w:firstRow="1" w:lastRow="0" w:firstColumn="1" w:lastColumn="0" w:noHBand="0" w:noVBand="1"/>
      </w:tblPr>
      <w:tblGrid>
        <w:gridCol w:w="1218"/>
        <w:gridCol w:w="628"/>
        <w:gridCol w:w="1838"/>
        <w:gridCol w:w="712"/>
        <w:gridCol w:w="978"/>
        <w:gridCol w:w="1971"/>
        <w:gridCol w:w="963"/>
      </w:tblGrid>
      <w:tr w:rsidR="0021163A" w:rsidRPr="00430F6C" w14:paraId="291ECDD4" w14:textId="77777777" w:rsidTr="00B2019B">
        <w:tc>
          <w:tcPr>
            <w:tcW w:w="0" w:type="auto"/>
            <w:hideMark/>
          </w:tcPr>
          <w:p w14:paraId="75DD23BC" w14:textId="77777777" w:rsidR="0021163A" w:rsidRPr="00430F6C" w:rsidRDefault="0021163A" w:rsidP="00B2019B">
            <w:pPr>
              <w:spacing w:before="40" w:after="40"/>
              <w:jc w:val="center"/>
              <w:rPr>
                <w:rFonts w:ascii="Aptos Narrow" w:hAnsi="Aptos Narrow" w:cs="DilleniaUPC"/>
                <w:b/>
                <w:bCs/>
                <w:color w:val="0E2841" w:themeColor="text2"/>
                <w:sz w:val="18"/>
                <w:szCs w:val="18"/>
                <w:lang w:val="en-US"/>
              </w:rPr>
            </w:pPr>
            <w:r w:rsidRPr="00430F6C">
              <w:rPr>
                <w:rFonts w:ascii="Aptos Narrow" w:hAnsi="Aptos Narrow" w:cs="DilleniaUPC"/>
                <w:b/>
                <w:bCs/>
                <w:color w:val="0E2841" w:themeColor="text2"/>
                <w:sz w:val="18"/>
                <w:szCs w:val="18"/>
                <w:lang w:val="en-US"/>
              </w:rPr>
              <w:t>Index</w:t>
            </w:r>
          </w:p>
        </w:tc>
        <w:tc>
          <w:tcPr>
            <w:tcW w:w="0" w:type="auto"/>
            <w:hideMark/>
          </w:tcPr>
          <w:p w14:paraId="3FB0C9E0" w14:textId="77777777" w:rsidR="0021163A" w:rsidRPr="00430F6C" w:rsidRDefault="0021163A" w:rsidP="00B2019B">
            <w:pPr>
              <w:spacing w:before="40" w:after="40"/>
              <w:jc w:val="center"/>
              <w:rPr>
                <w:rFonts w:ascii="Aptos Narrow" w:hAnsi="Aptos Narrow" w:cs="DilleniaUPC"/>
                <w:b/>
                <w:bCs/>
                <w:color w:val="0E2841" w:themeColor="text2"/>
                <w:sz w:val="18"/>
                <w:szCs w:val="18"/>
                <w:lang w:val="en-US"/>
              </w:rPr>
            </w:pPr>
            <w:r w:rsidRPr="00430F6C">
              <w:rPr>
                <w:rFonts w:ascii="Aptos Narrow" w:hAnsi="Aptos Narrow" w:cs="DilleniaUPC"/>
                <w:b/>
                <w:bCs/>
                <w:color w:val="0E2841" w:themeColor="text2"/>
                <w:sz w:val="18"/>
                <w:szCs w:val="18"/>
                <w:lang w:val="en-US"/>
              </w:rPr>
              <w:t>n</w:t>
            </w:r>
          </w:p>
        </w:tc>
        <w:tc>
          <w:tcPr>
            <w:tcW w:w="0" w:type="auto"/>
            <w:hideMark/>
          </w:tcPr>
          <w:p w14:paraId="7C3D6379" w14:textId="77777777" w:rsidR="0021163A" w:rsidRPr="00430F6C" w:rsidRDefault="0021163A" w:rsidP="00B2019B">
            <w:pPr>
              <w:spacing w:before="40" w:after="40"/>
              <w:jc w:val="center"/>
              <w:rPr>
                <w:rFonts w:ascii="Aptos Narrow" w:hAnsi="Aptos Narrow" w:cs="DilleniaUPC"/>
                <w:b/>
                <w:bCs/>
                <w:color w:val="0E2841" w:themeColor="text2"/>
                <w:sz w:val="18"/>
                <w:szCs w:val="18"/>
                <w:lang w:val="en-US"/>
              </w:rPr>
            </w:pPr>
            <w:r w:rsidRPr="00430F6C">
              <w:rPr>
                <w:rFonts w:ascii="Aptos Narrow" w:hAnsi="Aptos Narrow" w:cs="DilleniaUPC"/>
                <w:b/>
                <w:bCs/>
                <w:color w:val="0E2841" w:themeColor="text2"/>
                <w:sz w:val="18"/>
                <w:szCs w:val="18"/>
                <w:lang w:val="en-US"/>
              </w:rPr>
              <w:t>Scope</w:t>
            </w:r>
          </w:p>
        </w:tc>
        <w:tc>
          <w:tcPr>
            <w:tcW w:w="0" w:type="auto"/>
            <w:hideMark/>
          </w:tcPr>
          <w:p w14:paraId="5A1E15A3" w14:textId="77777777" w:rsidR="0021163A" w:rsidRPr="00430F6C" w:rsidRDefault="0021163A" w:rsidP="00B2019B">
            <w:pPr>
              <w:spacing w:before="40" w:after="40"/>
              <w:jc w:val="center"/>
              <w:rPr>
                <w:rFonts w:ascii="Aptos Narrow" w:hAnsi="Aptos Narrow" w:cs="DilleniaUPC"/>
                <w:b/>
                <w:bCs/>
                <w:color w:val="0E2841" w:themeColor="text2"/>
                <w:sz w:val="18"/>
                <w:szCs w:val="18"/>
                <w:lang w:val="en-US"/>
              </w:rPr>
            </w:pPr>
            <w:r w:rsidRPr="00430F6C">
              <w:rPr>
                <w:rFonts w:ascii="Aptos Narrow" w:hAnsi="Aptos Narrow" w:cs="DilleniaUPC"/>
                <w:b/>
                <w:bCs/>
                <w:color w:val="0E2841" w:themeColor="text2"/>
                <w:sz w:val="18"/>
                <w:szCs w:val="18"/>
                <w:lang w:val="en-US"/>
              </w:rPr>
              <w:t>Family</w:t>
            </w:r>
          </w:p>
        </w:tc>
        <w:tc>
          <w:tcPr>
            <w:tcW w:w="0" w:type="auto"/>
            <w:hideMark/>
          </w:tcPr>
          <w:p w14:paraId="4F30F1A5" w14:textId="77777777" w:rsidR="0021163A" w:rsidRPr="00430F6C" w:rsidRDefault="0021163A" w:rsidP="00B2019B">
            <w:pPr>
              <w:spacing w:before="40" w:after="40"/>
              <w:jc w:val="center"/>
              <w:rPr>
                <w:rFonts w:ascii="Aptos Narrow" w:hAnsi="Aptos Narrow" w:cs="DilleniaUPC"/>
                <w:b/>
                <w:bCs/>
                <w:color w:val="0E2841" w:themeColor="text2"/>
                <w:sz w:val="18"/>
                <w:szCs w:val="18"/>
                <w:lang w:val="en-US"/>
              </w:rPr>
            </w:pPr>
            <w:r w:rsidRPr="00430F6C">
              <w:rPr>
                <w:rFonts w:ascii="Aptos Narrow" w:hAnsi="Aptos Narrow" w:cs="DilleniaUPC"/>
                <w:b/>
                <w:bCs/>
                <w:color w:val="0E2841" w:themeColor="text2"/>
                <w:sz w:val="18"/>
                <w:szCs w:val="18"/>
                <w:lang w:val="en-US"/>
              </w:rPr>
              <w:t>Transform</w:t>
            </w:r>
          </w:p>
        </w:tc>
        <w:tc>
          <w:tcPr>
            <w:tcW w:w="0" w:type="auto"/>
            <w:hideMark/>
          </w:tcPr>
          <w:p w14:paraId="23B32235" w14:textId="77777777" w:rsidR="0021163A" w:rsidRPr="00430F6C" w:rsidRDefault="0021163A" w:rsidP="00B2019B">
            <w:pPr>
              <w:spacing w:before="40" w:after="40"/>
              <w:jc w:val="center"/>
              <w:rPr>
                <w:rFonts w:ascii="Aptos Narrow" w:hAnsi="Aptos Narrow" w:cs="DilleniaUPC"/>
                <w:b/>
                <w:bCs/>
                <w:color w:val="0E2841" w:themeColor="text2"/>
                <w:sz w:val="18"/>
                <w:szCs w:val="18"/>
                <w:lang w:val="en-US"/>
              </w:rPr>
            </w:pPr>
            <w:r w:rsidRPr="00430F6C">
              <w:rPr>
                <w:rFonts w:ascii="Aptos Narrow" w:hAnsi="Aptos Narrow" w:cs="DilleniaUPC"/>
                <w:b/>
                <w:bCs/>
                <w:color w:val="0E2841" w:themeColor="text2"/>
                <w:sz w:val="18"/>
                <w:szCs w:val="18"/>
                <w:lang w:val="en-US"/>
              </w:rPr>
              <w:t>% |Z| &gt; 1.96</w:t>
            </w:r>
          </w:p>
        </w:tc>
        <w:tc>
          <w:tcPr>
            <w:tcW w:w="0" w:type="auto"/>
            <w:hideMark/>
          </w:tcPr>
          <w:p w14:paraId="2A3407DF" w14:textId="77777777" w:rsidR="0021163A" w:rsidRPr="00430F6C" w:rsidRDefault="0021163A" w:rsidP="00B2019B">
            <w:pPr>
              <w:spacing w:before="40" w:after="40"/>
              <w:jc w:val="center"/>
              <w:rPr>
                <w:rFonts w:ascii="Aptos Narrow" w:hAnsi="Aptos Narrow" w:cs="DilleniaUPC"/>
                <w:b/>
                <w:bCs/>
                <w:color w:val="0E2841" w:themeColor="text2"/>
                <w:sz w:val="18"/>
                <w:szCs w:val="18"/>
                <w:lang w:val="en-US"/>
              </w:rPr>
            </w:pPr>
            <w:r w:rsidRPr="00430F6C">
              <w:rPr>
                <w:rFonts w:ascii="Aptos Narrow" w:hAnsi="Aptos Narrow" w:cs="Cambria"/>
                <w:b/>
                <w:bCs/>
                <w:color w:val="0E2841" w:themeColor="text2"/>
                <w:sz w:val="18"/>
                <w:szCs w:val="18"/>
                <w:lang w:val="en-US"/>
              </w:rPr>
              <w:t>Δ</w:t>
            </w:r>
            <w:r w:rsidRPr="00430F6C">
              <w:rPr>
                <w:rFonts w:ascii="Aptos Narrow" w:hAnsi="Aptos Narrow" w:cs="DilleniaUPC"/>
                <w:b/>
                <w:bCs/>
                <w:color w:val="0E2841" w:themeColor="text2"/>
                <w:sz w:val="18"/>
                <w:szCs w:val="18"/>
                <w:lang w:val="en-US"/>
              </w:rPr>
              <w:t xml:space="preserve"> from 5%</w:t>
            </w:r>
          </w:p>
        </w:tc>
      </w:tr>
      <w:tr w:rsidR="0021163A" w:rsidRPr="00430F6C" w14:paraId="60C9300F" w14:textId="77777777" w:rsidTr="00B2019B">
        <w:tc>
          <w:tcPr>
            <w:tcW w:w="0" w:type="auto"/>
            <w:hideMark/>
          </w:tcPr>
          <w:p w14:paraId="1DCB135D" w14:textId="77777777" w:rsidR="0021163A" w:rsidRPr="00430F6C" w:rsidRDefault="0021163A" w:rsidP="00B2019B">
            <w:pPr>
              <w:spacing w:before="40" w:after="40"/>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TBR</w:t>
            </w:r>
          </w:p>
        </w:tc>
        <w:tc>
          <w:tcPr>
            <w:tcW w:w="0" w:type="auto"/>
            <w:hideMark/>
          </w:tcPr>
          <w:p w14:paraId="12B285FE" w14:textId="77777777" w:rsidR="0021163A" w:rsidRPr="00430F6C" w:rsidRDefault="0021163A" w:rsidP="00B2019B">
            <w:pPr>
              <w:spacing w:before="40" w:after="40"/>
              <w:jc w:val="center"/>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1,564</w:t>
            </w:r>
          </w:p>
        </w:tc>
        <w:tc>
          <w:tcPr>
            <w:tcW w:w="0" w:type="auto"/>
            <w:hideMark/>
          </w:tcPr>
          <w:p w14:paraId="65CB2562" w14:textId="77777777" w:rsidR="0021163A" w:rsidRPr="00430F6C" w:rsidRDefault="0021163A" w:rsidP="00B2019B">
            <w:pPr>
              <w:spacing w:before="40" w:after="40"/>
              <w:jc w:val="center"/>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19 electrodes (pooled)</w:t>
            </w:r>
          </w:p>
        </w:tc>
        <w:tc>
          <w:tcPr>
            <w:tcW w:w="0" w:type="auto"/>
            <w:hideMark/>
          </w:tcPr>
          <w:p w14:paraId="3D65FEB6" w14:textId="77777777" w:rsidR="0021163A" w:rsidRPr="00430F6C" w:rsidRDefault="0021163A" w:rsidP="00B2019B">
            <w:pPr>
              <w:spacing w:before="40" w:after="40"/>
              <w:jc w:val="center"/>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NO</w:t>
            </w:r>
          </w:p>
        </w:tc>
        <w:tc>
          <w:tcPr>
            <w:tcW w:w="0" w:type="auto"/>
            <w:hideMark/>
          </w:tcPr>
          <w:p w14:paraId="0CE96B5B" w14:textId="77777777" w:rsidR="0021163A" w:rsidRPr="00430F6C" w:rsidRDefault="0021163A" w:rsidP="00B2019B">
            <w:pPr>
              <w:spacing w:before="40" w:after="40"/>
              <w:jc w:val="center"/>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w:t>
            </w:r>
          </w:p>
        </w:tc>
        <w:tc>
          <w:tcPr>
            <w:tcW w:w="0" w:type="auto"/>
            <w:hideMark/>
          </w:tcPr>
          <w:p w14:paraId="71C8305D" w14:textId="77777777" w:rsidR="0021163A" w:rsidRPr="00430F6C" w:rsidRDefault="0021163A" w:rsidP="00B2019B">
            <w:pPr>
              <w:spacing w:before="40" w:after="40"/>
              <w:jc w:val="center"/>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4.95% (range: 4.0–5.7%)</w:t>
            </w:r>
          </w:p>
        </w:tc>
        <w:tc>
          <w:tcPr>
            <w:tcW w:w="0" w:type="auto"/>
            <w:hideMark/>
          </w:tcPr>
          <w:p w14:paraId="27F4435E" w14:textId="77777777" w:rsidR="0021163A" w:rsidRPr="00430F6C" w:rsidRDefault="0021163A" w:rsidP="00B2019B">
            <w:pPr>
              <w:spacing w:before="40" w:after="40"/>
              <w:jc w:val="center"/>
              <w:rPr>
                <w:rFonts w:ascii="Aptos Narrow" w:hAnsi="Aptos Narrow" w:cs="DilleniaUPC"/>
                <w:color w:val="0E2841" w:themeColor="text2"/>
                <w:sz w:val="18"/>
                <w:szCs w:val="18"/>
                <w:lang w:val="en-US"/>
              </w:rPr>
            </w:pPr>
            <w:r w:rsidRPr="00430F6C">
              <w:rPr>
                <w:rFonts w:ascii="Aptos Narrow" w:hAnsi="Aptos Narrow" w:cs="Cambria Math"/>
                <w:color w:val="0E2841" w:themeColor="text2"/>
                <w:sz w:val="18"/>
                <w:szCs w:val="18"/>
                <w:lang w:val="en-US"/>
              </w:rPr>
              <w:t>-</w:t>
            </w:r>
            <w:r w:rsidRPr="00430F6C">
              <w:rPr>
                <w:rFonts w:ascii="Aptos Narrow" w:hAnsi="Aptos Narrow" w:cs="DilleniaUPC"/>
                <w:color w:val="0E2841" w:themeColor="text2"/>
                <w:sz w:val="18"/>
                <w:szCs w:val="18"/>
                <w:lang w:val="en-US"/>
              </w:rPr>
              <w:t>0.05 pp</w:t>
            </w:r>
          </w:p>
        </w:tc>
      </w:tr>
      <w:tr w:rsidR="0021163A" w:rsidRPr="00430F6C" w14:paraId="52703367" w14:textId="77777777" w:rsidTr="00B2019B">
        <w:tc>
          <w:tcPr>
            <w:tcW w:w="0" w:type="auto"/>
            <w:hideMark/>
          </w:tcPr>
          <w:p w14:paraId="21459128" w14:textId="77777777" w:rsidR="0021163A" w:rsidRPr="00430F6C" w:rsidRDefault="0021163A" w:rsidP="00B2019B">
            <w:pPr>
              <w:spacing w:before="40" w:after="40"/>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Arousal Index</w:t>
            </w:r>
          </w:p>
        </w:tc>
        <w:tc>
          <w:tcPr>
            <w:tcW w:w="0" w:type="auto"/>
            <w:hideMark/>
          </w:tcPr>
          <w:p w14:paraId="04DE7FFB" w14:textId="77777777" w:rsidR="0021163A" w:rsidRPr="00430F6C" w:rsidRDefault="0021163A" w:rsidP="00B2019B">
            <w:pPr>
              <w:spacing w:before="40" w:after="40"/>
              <w:jc w:val="center"/>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1,564</w:t>
            </w:r>
          </w:p>
        </w:tc>
        <w:tc>
          <w:tcPr>
            <w:tcW w:w="0" w:type="auto"/>
            <w:hideMark/>
          </w:tcPr>
          <w:p w14:paraId="66E0687E" w14:textId="77777777" w:rsidR="0021163A" w:rsidRPr="00430F6C" w:rsidRDefault="0021163A" w:rsidP="00B2019B">
            <w:pPr>
              <w:spacing w:before="40" w:after="40"/>
              <w:jc w:val="center"/>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Global</w:t>
            </w:r>
          </w:p>
        </w:tc>
        <w:tc>
          <w:tcPr>
            <w:tcW w:w="0" w:type="auto"/>
            <w:hideMark/>
          </w:tcPr>
          <w:p w14:paraId="4A159F56" w14:textId="77777777" w:rsidR="0021163A" w:rsidRPr="00430F6C" w:rsidRDefault="0021163A" w:rsidP="00B2019B">
            <w:pPr>
              <w:spacing w:before="40" w:after="40"/>
              <w:jc w:val="center"/>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BCT</w:t>
            </w:r>
          </w:p>
        </w:tc>
        <w:tc>
          <w:tcPr>
            <w:tcW w:w="0" w:type="auto"/>
            <w:hideMark/>
          </w:tcPr>
          <w:p w14:paraId="3A8E7FDB" w14:textId="77777777" w:rsidR="0021163A" w:rsidRPr="00430F6C" w:rsidRDefault="0021163A" w:rsidP="00B2019B">
            <w:pPr>
              <w:spacing w:before="40" w:after="40"/>
              <w:jc w:val="center"/>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log†</w:t>
            </w:r>
          </w:p>
        </w:tc>
        <w:tc>
          <w:tcPr>
            <w:tcW w:w="0" w:type="auto"/>
            <w:hideMark/>
          </w:tcPr>
          <w:p w14:paraId="07CBD7B1" w14:textId="77777777" w:rsidR="0021163A" w:rsidRPr="00430F6C" w:rsidRDefault="0021163A" w:rsidP="00B2019B">
            <w:pPr>
              <w:spacing w:before="40" w:after="40"/>
              <w:jc w:val="center"/>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5.03%</w:t>
            </w:r>
          </w:p>
        </w:tc>
        <w:tc>
          <w:tcPr>
            <w:tcW w:w="0" w:type="auto"/>
            <w:hideMark/>
          </w:tcPr>
          <w:p w14:paraId="321E60B1" w14:textId="77777777" w:rsidR="0021163A" w:rsidRPr="00430F6C" w:rsidRDefault="0021163A" w:rsidP="00B2019B">
            <w:pPr>
              <w:spacing w:before="40" w:after="40"/>
              <w:jc w:val="center"/>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+0.03 pp</w:t>
            </w:r>
          </w:p>
        </w:tc>
      </w:tr>
      <w:tr w:rsidR="0021163A" w:rsidRPr="00430F6C" w14:paraId="16CECF97" w14:textId="77777777" w:rsidTr="00B2019B">
        <w:tc>
          <w:tcPr>
            <w:tcW w:w="0" w:type="auto"/>
            <w:hideMark/>
          </w:tcPr>
          <w:p w14:paraId="3570CCBD" w14:textId="77777777" w:rsidR="0021163A" w:rsidRPr="00430F6C" w:rsidRDefault="0021163A" w:rsidP="00B2019B">
            <w:pPr>
              <w:spacing w:before="40" w:after="40"/>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Valence (FAA)</w:t>
            </w:r>
          </w:p>
        </w:tc>
        <w:tc>
          <w:tcPr>
            <w:tcW w:w="0" w:type="auto"/>
            <w:hideMark/>
          </w:tcPr>
          <w:p w14:paraId="436B2BBA" w14:textId="77777777" w:rsidR="0021163A" w:rsidRPr="00430F6C" w:rsidRDefault="0021163A" w:rsidP="00B2019B">
            <w:pPr>
              <w:spacing w:before="40" w:after="40"/>
              <w:jc w:val="center"/>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1,564</w:t>
            </w:r>
          </w:p>
        </w:tc>
        <w:tc>
          <w:tcPr>
            <w:tcW w:w="0" w:type="auto"/>
            <w:hideMark/>
          </w:tcPr>
          <w:p w14:paraId="017959D6" w14:textId="77777777" w:rsidR="0021163A" w:rsidRPr="00430F6C" w:rsidRDefault="0021163A" w:rsidP="00B2019B">
            <w:pPr>
              <w:spacing w:before="40" w:after="40"/>
              <w:jc w:val="center"/>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Global</w:t>
            </w:r>
          </w:p>
        </w:tc>
        <w:tc>
          <w:tcPr>
            <w:tcW w:w="0" w:type="auto"/>
            <w:hideMark/>
          </w:tcPr>
          <w:p w14:paraId="2778235C" w14:textId="77777777" w:rsidR="0021163A" w:rsidRPr="00430F6C" w:rsidRDefault="0021163A" w:rsidP="00B2019B">
            <w:pPr>
              <w:spacing w:before="40" w:after="40"/>
              <w:jc w:val="center"/>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NO</w:t>
            </w:r>
          </w:p>
        </w:tc>
        <w:tc>
          <w:tcPr>
            <w:tcW w:w="0" w:type="auto"/>
            <w:hideMark/>
          </w:tcPr>
          <w:p w14:paraId="46F1583D" w14:textId="77777777" w:rsidR="0021163A" w:rsidRPr="00430F6C" w:rsidRDefault="0021163A" w:rsidP="00B2019B">
            <w:pPr>
              <w:spacing w:before="40" w:after="40"/>
              <w:jc w:val="center"/>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w:t>
            </w:r>
          </w:p>
        </w:tc>
        <w:tc>
          <w:tcPr>
            <w:tcW w:w="0" w:type="auto"/>
            <w:hideMark/>
          </w:tcPr>
          <w:p w14:paraId="33D2FD02" w14:textId="77777777" w:rsidR="0021163A" w:rsidRPr="00430F6C" w:rsidRDefault="0021163A" w:rsidP="00B2019B">
            <w:pPr>
              <w:spacing w:before="40" w:after="40"/>
              <w:jc w:val="center"/>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5.11%</w:t>
            </w:r>
          </w:p>
        </w:tc>
        <w:tc>
          <w:tcPr>
            <w:tcW w:w="0" w:type="auto"/>
            <w:hideMark/>
          </w:tcPr>
          <w:p w14:paraId="4040F39E" w14:textId="77777777" w:rsidR="0021163A" w:rsidRPr="00430F6C" w:rsidRDefault="0021163A" w:rsidP="00B2019B">
            <w:pPr>
              <w:spacing w:before="40" w:after="40"/>
              <w:jc w:val="center"/>
              <w:rPr>
                <w:rFonts w:ascii="Aptos Narrow" w:hAnsi="Aptos Narrow" w:cs="DilleniaUPC"/>
                <w:color w:val="0E2841" w:themeColor="text2"/>
                <w:sz w:val="18"/>
                <w:szCs w:val="18"/>
                <w:lang w:val="en-US"/>
              </w:rPr>
            </w:pPr>
            <w:r w:rsidRPr="00430F6C">
              <w:rPr>
                <w:rFonts w:ascii="Aptos Narrow" w:hAnsi="Aptos Narrow" w:cs="DilleniaUPC"/>
                <w:color w:val="0E2841" w:themeColor="text2"/>
                <w:sz w:val="18"/>
                <w:szCs w:val="18"/>
                <w:lang w:val="en-US"/>
              </w:rPr>
              <w:t>+0.11 pp</w:t>
            </w:r>
          </w:p>
        </w:tc>
      </w:tr>
    </w:tbl>
    <w:p w14:paraId="16FE8982" w14:textId="77777777" w:rsidR="0021163A" w:rsidRPr="00F24414" w:rsidRDefault="0021163A" w:rsidP="0021163A">
      <w:pPr>
        <w:pStyle w:val="Caption"/>
        <w:spacing w:before="60"/>
        <w:jc w:val="both"/>
        <w:rPr>
          <w:sz w:val="20"/>
          <w:szCs w:val="20"/>
          <w:lang w:val="en-US"/>
        </w:rPr>
      </w:pPr>
      <w:proofErr w:type="gramStart"/>
      <w:r>
        <w:rPr>
          <w:sz w:val="20"/>
          <w:szCs w:val="20"/>
          <w:lang w:val="fr-CA"/>
        </w:rPr>
        <w:t>pp</w:t>
      </w:r>
      <w:proofErr w:type="gramEnd"/>
      <w:r>
        <w:rPr>
          <w:sz w:val="20"/>
          <w:szCs w:val="20"/>
          <w:lang w:val="fr-CA"/>
        </w:rPr>
        <w:t xml:space="preserve"> = percentage points. NO = Normal; BCT = Box-Cox t distribution. </w:t>
      </w:r>
      <w:r>
        <w:rPr>
          <w:sz w:val="20"/>
          <w:szCs w:val="20"/>
          <w:lang w:val="en-US"/>
        </w:rPr>
        <w:t xml:space="preserve">† Transform was specified, but BCT was fitted on raw data (values &gt; 0); the </w:t>
      </w:r>
      <w:r>
        <w:rPr>
          <w:sz w:val="20"/>
          <w:szCs w:val="20"/>
        </w:rPr>
        <w:t>ν</w:t>
      </w:r>
      <w:r>
        <w:rPr>
          <w:sz w:val="20"/>
          <w:szCs w:val="20"/>
          <w:lang w:val="en-US"/>
        </w:rPr>
        <w:t xml:space="preserve"> parameter of BCT absorbs asymmetry, making the log pre-transform redundant. TBR range reflects variability across the 19 individual electrode models. All three indices show adequate calibration, with deviations from the nominal 5% rate below 0.2 pp.</w:t>
      </w:r>
    </w:p>
    <w:p w14:paraId="3DEDF5CD" w14:textId="77777777" w:rsidR="0021163A" w:rsidRPr="00313E8C" w:rsidRDefault="0021163A" w:rsidP="0021163A">
      <w:pPr>
        <w:pStyle w:val="Caption"/>
        <w:jc w:val="both"/>
        <w:rPr>
          <w:sz w:val="24"/>
          <w:szCs w:val="24"/>
          <w:lang w:val="en-US"/>
        </w:rPr>
      </w:pPr>
      <w:r>
        <w:rPr>
          <w:b/>
          <w:bCs/>
          <w:sz w:val="24"/>
          <w:szCs w:val="24"/>
          <w:lang w:val="en-US"/>
        </w:rPr>
        <w:t>Supplementary Table 2. Empirical centile coverage of GAMLSS normative models</w:t>
      </w:r>
    </w:p>
    <w:p w14:paraId="6CFB8E70" w14:textId="77777777" w:rsidR="0021163A" w:rsidRPr="006F705D" w:rsidRDefault="0021163A" w:rsidP="0021163A">
      <w:pPr>
        <w:spacing w:after="120"/>
        <w:rPr>
          <w:i/>
          <w:iCs/>
          <w:color w:val="0E2841" w:themeColor="text2"/>
          <w:sz w:val="20"/>
          <w:szCs w:val="20"/>
          <w:lang w:val="en-US"/>
        </w:rPr>
      </w:pPr>
      <w:r>
        <w:rPr>
          <w:i/>
          <w:iCs/>
          <w:color w:val="0E2841" w:themeColor="text2"/>
          <w:sz w:val="20"/>
          <w:szCs w:val="20"/>
          <w:lang w:val="en-US"/>
        </w:rPr>
        <w:t>Empirical percentage of the normative sample falling below each centile threshold, derived by comparing each subject's observed index value against the age-interpolated centile curve. Values in parentheses indicate the deviation (Δ) from the nominal level. Under perfect calibration, all deviations are equal to 0.</w:t>
      </w:r>
    </w:p>
    <w:tbl>
      <w:tblPr>
        <w:tblStyle w:val="TableGrid"/>
        <w:tblW w:w="0" w:type="auto"/>
        <w:tblLook w:val="04A0" w:firstRow="1" w:lastRow="0" w:firstColumn="1" w:lastColumn="0" w:noHBand="0" w:noVBand="1"/>
      </w:tblPr>
      <w:tblGrid>
        <w:gridCol w:w="682"/>
        <w:gridCol w:w="668"/>
        <w:gridCol w:w="657"/>
        <w:gridCol w:w="628"/>
        <w:gridCol w:w="861"/>
        <w:gridCol w:w="828"/>
        <w:gridCol w:w="956"/>
        <w:gridCol w:w="828"/>
        <w:gridCol w:w="913"/>
        <w:gridCol w:w="913"/>
        <w:gridCol w:w="932"/>
      </w:tblGrid>
      <w:tr w:rsidR="0021163A" w:rsidRPr="00430F6C" w14:paraId="54A9B5EB" w14:textId="77777777" w:rsidTr="00B2019B">
        <w:tc>
          <w:tcPr>
            <w:tcW w:w="0" w:type="auto"/>
            <w:hideMark/>
          </w:tcPr>
          <w:p w14:paraId="09945E25" w14:textId="77777777" w:rsidR="0021163A" w:rsidRPr="00430F6C" w:rsidRDefault="0021163A" w:rsidP="00B2019B">
            <w:pPr>
              <w:spacing w:before="40" w:after="40"/>
              <w:jc w:val="center"/>
              <w:rPr>
                <w:rFonts w:ascii="Aptos Narrow" w:hAnsi="Aptos Narrow" w:cs="DilleniaUPC"/>
                <w:b/>
                <w:bCs/>
                <w:color w:val="0E2841" w:themeColor="text2"/>
                <w:sz w:val="16"/>
                <w:szCs w:val="16"/>
                <w:lang w:val="en-US"/>
              </w:rPr>
            </w:pPr>
            <w:r w:rsidRPr="00430F6C">
              <w:rPr>
                <w:rFonts w:ascii="Aptos Narrow" w:hAnsi="Aptos Narrow" w:cs="DilleniaUPC"/>
                <w:b/>
                <w:bCs/>
                <w:color w:val="0E2841" w:themeColor="text2"/>
                <w:sz w:val="16"/>
                <w:szCs w:val="16"/>
                <w:lang w:val="en-US"/>
              </w:rPr>
              <w:t>Index</w:t>
            </w:r>
          </w:p>
        </w:tc>
        <w:tc>
          <w:tcPr>
            <w:tcW w:w="0" w:type="auto"/>
            <w:hideMark/>
          </w:tcPr>
          <w:p w14:paraId="1BEC63DF" w14:textId="77777777" w:rsidR="0021163A" w:rsidRPr="00430F6C" w:rsidRDefault="0021163A" w:rsidP="00B2019B">
            <w:pPr>
              <w:spacing w:before="40" w:after="40"/>
              <w:jc w:val="center"/>
              <w:rPr>
                <w:rFonts w:ascii="Aptos Narrow" w:hAnsi="Aptos Narrow" w:cs="DilleniaUPC"/>
                <w:b/>
                <w:bCs/>
                <w:color w:val="0E2841" w:themeColor="text2"/>
                <w:sz w:val="16"/>
                <w:szCs w:val="16"/>
                <w:lang w:val="en-US"/>
              </w:rPr>
            </w:pPr>
            <w:r w:rsidRPr="00430F6C">
              <w:rPr>
                <w:rFonts w:ascii="Aptos Narrow" w:hAnsi="Aptos Narrow" w:cs="DilleniaUPC"/>
                <w:b/>
                <w:bCs/>
                <w:color w:val="0E2841" w:themeColor="text2"/>
                <w:sz w:val="16"/>
                <w:szCs w:val="16"/>
                <w:lang w:val="en-US"/>
              </w:rPr>
              <w:t>Scope</w:t>
            </w:r>
          </w:p>
        </w:tc>
        <w:tc>
          <w:tcPr>
            <w:tcW w:w="0" w:type="auto"/>
            <w:hideMark/>
          </w:tcPr>
          <w:p w14:paraId="56C01EDA" w14:textId="77777777" w:rsidR="0021163A" w:rsidRPr="00430F6C" w:rsidRDefault="0021163A" w:rsidP="00B2019B">
            <w:pPr>
              <w:spacing w:before="40" w:after="40"/>
              <w:jc w:val="center"/>
              <w:rPr>
                <w:rFonts w:ascii="Aptos Narrow" w:hAnsi="Aptos Narrow" w:cs="DilleniaUPC"/>
                <w:b/>
                <w:bCs/>
                <w:color w:val="0E2841" w:themeColor="text2"/>
                <w:sz w:val="16"/>
                <w:szCs w:val="16"/>
                <w:lang w:val="en-US"/>
              </w:rPr>
            </w:pPr>
            <w:r w:rsidRPr="00430F6C">
              <w:rPr>
                <w:rFonts w:ascii="Aptos Narrow" w:hAnsi="Aptos Narrow" w:cs="DilleniaUPC"/>
                <w:b/>
                <w:bCs/>
                <w:color w:val="0E2841" w:themeColor="text2"/>
                <w:sz w:val="16"/>
                <w:szCs w:val="16"/>
                <w:lang w:val="en-US"/>
              </w:rPr>
              <w:t>Family</w:t>
            </w:r>
          </w:p>
        </w:tc>
        <w:tc>
          <w:tcPr>
            <w:tcW w:w="0" w:type="auto"/>
            <w:hideMark/>
          </w:tcPr>
          <w:p w14:paraId="236C7DEB" w14:textId="77777777" w:rsidR="0021163A" w:rsidRPr="00430F6C" w:rsidRDefault="0021163A" w:rsidP="00B2019B">
            <w:pPr>
              <w:spacing w:before="40" w:after="40"/>
              <w:jc w:val="center"/>
              <w:rPr>
                <w:rFonts w:ascii="Aptos Narrow" w:hAnsi="Aptos Narrow" w:cs="DilleniaUPC"/>
                <w:b/>
                <w:bCs/>
                <w:color w:val="0E2841" w:themeColor="text2"/>
                <w:sz w:val="16"/>
                <w:szCs w:val="16"/>
                <w:lang w:val="en-US"/>
              </w:rPr>
            </w:pPr>
            <w:proofErr w:type="spellStart"/>
            <w:r w:rsidRPr="00430F6C">
              <w:rPr>
                <w:rFonts w:ascii="Aptos Narrow" w:hAnsi="Aptos Narrow" w:cs="DilleniaUPC"/>
                <w:b/>
                <w:bCs/>
                <w:color w:val="0E2841" w:themeColor="text2"/>
                <w:sz w:val="16"/>
                <w:szCs w:val="16"/>
                <w:lang w:val="en-US"/>
              </w:rPr>
              <w:t>Transf</w:t>
            </w:r>
            <w:proofErr w:type="spellEnd"/>
          </w:p>
        </w:tc>
        <w:tc>
          <w:tcPr>
            <w:tcW w:w="0" w:type="auto"/>
            <w:hideMark/>
          </w:tcPr>
          <w:p w14:paraId="1427695B" w14:textId="77777777" w:rsidR="0021163A" w:rsidRPr="00430F6C" w:rsidRDefault="0021163A" w:rsidP="00B2019B">
            <w:pPr>
              <w:spacing w:before="40" w:after="40"/>
              <w:jc w:val="center"/>
              <w:rPr>
                <w:rFonts w:ascii="Aptos Narrow" w:hAnsi="Aptos Narrow" w:cs="DilleniaUPC"/>
                <w:b/>
                <w:bCs/>
                <w:color w:val="0E2841" w:themeColor="text2"/>
                <w:sz w:val="16"/>
                <w:szCs w:val="16"/>
                <w:lang w:val="en-US"/>
              </w:rPr>
            </w:pPr>
            <w:r w:rsidRPr="00430F6C">
              <w:rPr>
                <w:rFonts w:ascii="Aptos Narrow" w:hAnsi="Aptos Narrow" w:cs="DilleniaUPC"/>
                <w:b/>
                <w:bCs/>
                <w:color w:val="0E2841" w:themeColor="text2"/>
                <w:sz w:val="16"/>
                <w:szCs w:val="16"/>
                <w:lang w:val="en-US"/>
              </w:rPr>
              <w:t>p2.5</w:t>
            </w:r>
          </w:p>
        </w:tc>
        <w:tc>
          <w:tcPr>
            <w:tcW w:w="0" w:type="auto"/>
            <w:hideMark/>
          </w:tcPr>
          <w:p w14:paraId="47017863" w14:textId="77777777" w:rsidR="0021163A" w:rsidRPr="00430F6C" w:rsidRDefault="0021163A" w:rsidP="00B2019B">
            <w:pPr>
              <w:spacing w:before="40" w:after="40"/>
              <w:jc w:val="center"/>
              <w:rPr>
                <w:rFonts w:ascii="Aptos Narrow" w:hAnsi="Aptos Narrow" w:cs="DilleniaUPC"/>
                <w:b/>
                <w:bCs/>
                <w:color w:val="0E2841" w:themeColor="text2"/>
                <w:sz w:val="16"/>
                <w:szCs w:val="16"/>
                <w:lang w:val="en-US"/>
              </w:rPr>
            </w:pPr>
            <w:r w:rsidRPr="00430F6C">
              <w:rPr>
                <w:rFonts w:ascii="Aptos Narrow" w:hAnsi="Aptos Narrow" w:cs="DilleniaUPC"/>
                <w:b/>
                <w:bCs/>
                <w:color w:val="0E2841" w:themeColor="text2"/>
                <w:sz w:val="16"/>
                <w:szCs w:val="16"/>
                <w:lang w:val="en-US"/>
              </w:rPr>
              <w:t>p10</w:t>
            </w:r>
          </w:p>
        </w:tc>
        <w:tc>
          <w:tcPr>
            <w:tcW w:w="0" w:type="auto"/>
            <w:hideMark/>
          </w:tcPr>
          <w:p w14:paraId="1E744DE0" w14:textId="77777777" w:rsidR="0021163A" w:rsidRPr="00430F6C" w:rsidRDefault="0021163A" w:rsidP="00B2019B">
            <w:pPr>
              <w:spacing w:before="40" w:after="40"/>
              <w:jc w:val="center"/>
              <w:rPr>
                <w:rFonts w:ascii="Aptos Narrow" w:hAnsi="Aptos Narrow" w:cs="DilleniaUPC"/>
                <w:b/>
                <w:bCs/>
                <w:color w:val="0E2841" w:themeColor="text2"/>
                <w:sz w:val="16"/>
                <w:szCs w:val="16"/>
                <w:lang w:val="en-US"/>
              </w:rPr>
            </w:pPr>
            <w:r w:rsidRPr="00430F6C">
              <w:rPr>
                <w:rFonts w:ascii="Aptos Narrow" w:hAnsi="Aptos Narrow" w:cs="DilleniaUPC"/>
                <w:b/>
                <w:bCs/>
                <w:color w:val="0E2841" w:themeColor="text2"/>
                <w:sz w:val="16"/>
                <w:szCs w:val="16"/>
                <w:lang w:val="en-US"/>
              </w:rPr>
              <w:t>p25</w:t>
            </w:r>
          </w:p>
        </w:tc>
        <w:tc>
          <w:tcPr>
            <w:tcW w:w="0" w:type="auto"/>
            <w:hideMark/>
          </w:tcPr>
          <w:p w14:paraId="6EDC5108" w14:textId="77777777" w:rsidR="0021163A" w:rsidRPr="00430F6C" w:rsidRDefault="0021163A" w:rsidP="00B2019B">
            <w:pPr>
              <w:spacing w:before="40" w:after="40"/>
              <w:jc w:val="center"/>
              <w:rPr>
                <w:rFonts w:ascii="Aptos Narrow" w:hAnsi="Aptos Narrow" w:cs="DilleniaUPC"/>
                <w:b/>
                <w:bCs/>
                <w:color w:val="0E2841" w:themeColor="text2"/>
                <w:sz w:val="16"/>
                <w:szCs w:val="16"/>
                <w:lang w:val="en-US"/>
              </w:rPr>
            </w:pPr>
            <w:r w:rsidRPr="00430F6C">
              <w:rPr>
                <w:rFonts w:ascii="Aptos Narrow" w:hAnsi="Aptos Narrow" w:cs="DilleniaUPC"/>
                <w:b/>
                <w:bCs/>
                <w:color w:val="0E2841" w:themeColor="text2"/>
                <w:sz w:val="16"/>
                <w:szCs w:val="16"/>
                <w:lang w:val="en-US"/>
              </w:rPr>
              <w:t>p50</w:t>
            </w:r>
          </w:p>
        </w:tc>
        <w:tc>
          <w:tcPr>
            <w:tcW w:w="0" w:type="auto"/>
            <w:hideMark/>
          </w:tcPr>
          <w:p w14:paraId="151D84C3" w14:textId="77777777" w:rsidR="0021163A" w:rsidRPr="00430F6C" w:rsidRDefault="0021163A" w:rsidP="00B2019B">
            <w:pPr>
              <w:spacing w:before="40" w:after="40"/>
              <w:jc w:val="center"/>
              <w:rPr>
                <w:rFonts w:ascii="Aptos Narrow" w:hAnsi="Aptos Narrow" w:cs="DilleniaUPC"/>
                <w:b/>
                <w:bCs/>
                <w:color w:val="0E2841" w:themeColor="text2"/>
                <w:sz w:val="16"/>
                <w:szCs w:val="16"/>
                <w:lang w:val="en-US"/>
              </w:rPr>
            </w:pPr>
            <w:r w:rsidRPr="00430F6C">
              <w:rPr>
                <w:rFonts w:ascii="Aptos Narrow" w:hAnsi="Aptos Narrow" w:cs="DilleniaUPC"/>
                <w:b/>
                <w:bCs/>
                <w:color w:val="0E2841" w:themeColor="text2"/>
                <w:sz w:val="16"/>
                <w:szCs w:val="16"/>
                <w:lang w:val="en-US"/>
              </w:rPr>
              <w:t>p75</w:t>
            </w:r>
          </w:p>
        </w:tc>
        <w:tc>
          <w:tcPr>
            <w:tcW w:w="0" w:type="auto"/>
            <w:hideMark/>
          </w:tcPr>
          <w:p w14:paraId="287AF333" w14:textId="77777777" w:rsidR="0021163A" w:rsidRPr="00430F6C" w:rsidRDefault="0021163A" w:rsidP="00B2019B">
            <w:pPr>
              <w:spacing w:before="40" w:after="40"/>
              <w:jc w:val="center"/>
              <w:rPr>
                <w:rFonts w:ascii="Aptos Narrow" w:hAnsi="Aptos Narrow" w:cs="DilleniaUPC"/>
                <w:b/>
                <w:bCs/>
                <w:color w:val="0E2841" w:themeColor="text2"/>
                <w:sz w:val="16"/>
                <w:szCs w:val="16"/>
                <w:lang w:val="en-US"/>
              </w:rPr>
            </w:pPr>
            <w:r w:rsidRPr="00430F6C">
              <w:rPr>
                <w:rFonts w:ascii="Aptos Narrow" w:hAnsi="Aptos Narrow" w:cs="DilleniaUPC"/>
                <w:b/>
                <w:bCs/>
                <w:color w:val="0E2841" w:themeColor="text2"/>
                <w:sz w:val="16"/>
                <w:szCs w:val="16"/>
                <w:lang w:val="en-US"/>
              </w:rPr>
              <w:t>p90</w:t>
            </w:r>
          </w:p>
        </w:tc>
        <w:tc>
          <w:tcPr>
            <w:tcW w:w="0" w:type="auto"/>
            <w:hideMark/>
          </w:tcPr>
          <w:p w14:paraId="0FD0B483" w14:textId="77777777" w:rsidR="0021163A" w:rsidRPr="00430F6C" w:rsidRDefault="0021163A" w:rsidP="00B2019B">
            <w:pPr>
              <w:spacing w:before="40" w:after="40"/>
              <w:jc w:val="center"/>
              <w:rPr>
                <w:rFonts w:ascii="Aptos Narrow" w:hAnsi="Aptos Narrow" w:cs="DilleniaUPC"/>
                <w:b/>
                <w:bCs/>
                <w:color w:val="0E2841" w:themeColor="text2"/>
                <w:sz w:val="16"/>
                <w:szCs w:val="16"/>
                <w:lang w:val="en-US"/>
              </w:rPr>
            </w:pPr>
            <w:r w:rsidRPr="00430F6C">
              <w:rPr>
                <w:rFonts w:ascii="Aptos Narrow" w:hAnsi="Aptos Narrow" w:cs="DilleniaUPC"/>
                <w:b/>
                <w:bCs/>
                <w:color w:val="0E2841" w:themeColor="text2"/>
                <w:sz w:val="16"/>
                <w:szCs w:val="16"/>
                <w:lang w:val="en-US"/>
              </w:rPr>
              <w:t>p97.5</w:t>
            </w:r>
          </w:p>
        </w:tc>
      </w:tr>
      <w:tr w:rsidR="0021163A" w:rsidRPr="009D7CEC" w14:paraId="5974B474" w14:textId="77777777" w:rsidTr="00B2019B">
        <w:tc>
          <w:tcPr>
            <w:tcW w:w="0" w:type="auto"/>
            <w:hideMark/>
          </w:tcPr>
          <w:p w14:paraId="0DB4D848"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p>
        </w:tc>
        <w:tc>
          <w:tcPr>
            <w:tcW w:w="0" w:type="auto"/>
            <w:hideMark/>
          </w:tcPr>
          <w:p w14:paraId="6DDA08D0"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p>
        </w:tc>
        <w:tc>
          <w:tcPr>
            <w:tcW w:w="0" w:type="auto"/>
            <w:hideMark/>
          </w:tcPr>
          <w:p w14:paraId="6090F86A"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p>
        </w:tc>
        <w:tc>
          <w:tcPr>
            <w:tcW w:w="0" w:type="auto"/>
            <w:hideMark/>
          </w:tcPr>
          <w:p w14:paraId="3496E73B"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p>
        </w:tc>
        <w:tc>
          <w:tcPr>
            <w:tcW w:w="0" w:type="auto"/>
            <w:hideMark/>
          </w:tcPr>
          <w:p w14:paraId="1C318B6B"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(exp. 2.5%)</w:t>
            </w:r>
          </w:p>
        </w:tc>
        <w:tc>
          <w:tcPr>
            <w:tcW w:w="0" w:type="auto"/>
            <w:hideMark/>
          </w:tcPr>
          <w:p w14:paraId="33BE3833"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(exp. 10%)</w:t>
            </w:r>
          </w:p>
        </w:tc>
        <w:tc>
          <w:tcPr>
            <w:tcW w:w="0" w:type="auto"/>
            <w:hideMark/>
          </w:tcPr>
          <w:p w14:paraId="237EDC70"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(exp. 25%)</w:t>
            </w:r>
          </w:p>
        </w:tc>
        <w:tc>
          <w:tcPr>
            <w:tcW w:w="0" w:type="auto"/>
            <w:hideMark/>
          </w:tcPr>
          <w:p w14:paraId="54DB7B58"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(exp. 50%)</w:t>
            </w:r>
          </w:p>
        </w:tc>
        <w:tc>
          <w:tcPr>
            <w:tcW w:w="0" w:type="auto"/>
            <w:hideMark/>
          </w:tcPr>
          <w:p w14:paraId="0317C3D4"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(exp. 75%)</w:t>
            </w:r>
          </w:p>
        </w:tc>
        <w:tc>
          <w:tcPr>
            <w:tcW w:w="0" w:type="auto"/>
            <w:hideMark/>
          </w:tcPr>
          <w:p w14:paraId="41C03BDC"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(exp. 90%)</w:t>
            </w:r>
          </w:p>
        </w:tc>
        <w:tc>
          <w:tcPr>
            <w:tcW w:w="0" w:type="auto"/>
            <w:hideMark/>
          </w:tcPr>
          <w:p w14:paraId="06C54856"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(exp. 97.5%)</w:t>
            </w:r>
          </w:p>
        </w:tc>
      </w:tr>
      <w:tr w:rsidR="0021163A" w:rsidRPr="009D7CEC" w14:paraId="173881C4" w14:textId="77777777" w:rsidTr="00B2019B">
        <w:tc>
          <w:tcPr>
            <w:tcW w:w="0" w:type="auto"/>
            <w:hideMark/>
          </w:tcPr>
          <w:p w14:paraId="6D3B9C3B"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TBR</w:t>
            </w:r>
          </w:p>
        </w:tc>
        <w:tc>
          <w:tcPr>
            <w:tcW w:w="0" w:type="auto"/>
            <w:hideMark/>
          </w:tcPr>
          <w:p w14:paraId="22E57853"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19 elec.</w:t>
            </w:r>
          </w:p>
        </w:tc>
        <w:tc>
          <w:tcPr>
            <w:tcW w:w="0" w:type="auto"/>
            <w:hideMark/>
          </w:tcPr>
          <w:p w14:paraId="5845C96A"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NO</w:t>
            </w:r>
          </w:p>
        </w:tc>
        <w:tc>
          <w:tcPr>
            <w:tcW w:w="0" w:type="auto"/>
            <w:hideMark/>
          </w:tcPr>
          <w:p w14:paraId="084CC95E"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w:t>
            </w:r>
          </w:p>
        </w:tc>
        <w:tc>
          <w:tcPr>
            <w:tcW w:w="0" w:type="auto"/>
            <w:hideMark/>
          </w:tcPr>
          <w:p w14:paraId="04D5D72C"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2.5 (</w:t>
            </w:r>
            <w:r w:rsidRPr="009D7CEC">
              <w:rPr>
                <w:rFonts w:ascii="Aptos Narrow" w:hAnsi="Aptos Narrow" w:cs="Cambria Math"/>
                <w:b/>
                <w:bCs/>
                <w:i/>
                <w:iCs/>
                <w:color w:val="0E2841" w:themeColor="text2"/>
                <w:sz w:val="14"/>
                <w:szCs w:val="14"/>
                <w:lang w:val="en-US"/>
              </w:rPr>
              <w:t>-</w:t>
            </w:r>
            <w:r w:rsidRPr="009D7CEC">
              <w:rPr>
                <w:rFonts w:ascii="Aptos Narrow" w:hAnsi="Aptos Narrow" w:cs="DilleniaUPC"/>
                <w:b/>
                <w:bCs/>
                <w:i/>
                <w:iCs/>
                <w:color w:val="0E2841" w:themeColor="text2"/>
                <w:sz w:val="14"/>
                <w:szCs w:val="14"/>
                <w:lang w:val="en-US"/>
              </w:rPr>
              <w:t>0.0)</w:t>
            </w:r>
          </w:p>
        </w:tc>
        <w:tc>
          <w:tcPr>
            <w:tcW w:w="0" w:type="auto"/>
            <w:hideMark/>
          </w:tcPr>
          <w:p w14:paraId="1AAC530E"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9.2 (</w:t>
            </w:r>
            <w:r w:rsidRPr="009D7CEC">
              <w:rPr>
                <w:rFonts w:ascii="Aptos Narrow" w:hAnsi="Aptos Narrow" w:cs="Cambria Math"/>
                <w:b/>
                <w:bCs/>
                <w:i/>
                <w:iCs/>
                <w:color w:val="0E2841" w:themeColor="text2"/>
                <w:sz w:val="14"/>
                <w:szCs w:val="14"/>
                <w:lang w:val="en-US"/>
              </w:rPr>
              <w:t>-</w:t>
            </w:r>
            <w:r w:rsidRPr="009D7CEC">
              <w:rPr>
                <w:rFonts w:ascii="Aptos Narrow" w:hAnsi="Aptos Narrow" w:cs="DilleniaUPC"/>
                <w:b/>
                <w:bCs/>
                <w:i/>
                <w:iCs/>
                <w:color w:val="0E2841" w:themeColor="text2"/>
                <w:sz w:val="14"/>
                <w:szCs w:val="14"/>
                <w:lang w:val="en-US"/>
              </w:rPr>
              <w:t>0.8)</w:t>
            </w:r>
          </w:p>
        </w:tc>
        <w:tc>
          <w:tcPr>
            <w:tcW w:w="0" w:type="auto"/>
            <w:hideMark/>
          </w:tcPr>
          <w:p w14:paraId="5FFB1008"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23.7 (</w:t>
            </w:r>
            <w:r w:rsidRPr="009D7CEC">
              <w:rPr>
                <w:rFonts w:ascii="Aptos Narrow" w:hAnsi="Aptos Narrow" w:cs="Cambria Math"/>
                <w:b/>
                <w:bCs/>
                <w:i/>
                <w:iCs/>
                <w:color w:val="0E2841" w:themeColor="text2"/>
                <w:sz w:val="14"/>
                <w:szCs w:val="14"/>
                <w:lang w:val="en-US"/>
              </w:rPr>
              <w:t>-</w:t>
            </w:r>
            <w:r w:rsidRPr="009D7CEC">
              <w:rPr>
                <w:rFonts w:ascii="Aptos Narrow" w:hAnsi="Aptos Narrow" w:cs="DilleniaUPC"/>
                <w:b/>
                <w:bCs/>
                <w:i/>
                <w:iCs/>
                <w:color w:val="0E2841" w:themeColor="text2"/>
                <w:sz w:val="14"/>
                <w:szCs w:val="14"/>
                <w:lang w:val="en-US"/>
              </w:rPr>
              <w:t>1.3)</w:t>
            </w:r>
          </w:p>
        </w:tc>
        <w:tc>
          <w:tcPr>
            <w:tcW w:w="0" w:type="auto"/>
            <w:hideMark/>
          </w:tcPr>
          <w:p w14:paraId="3DA2FBD7"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49.9 (-0.1)</w:t>
            </w:r>
          </w:p>
        </w:tc>
        <w:tc>
          <w:tcPr>
            <w:tcW w:w="0" w:type="auto"/>
            <w:hideMark/>
          </w:tcPr>
          <w:p w14:paraId="30A44764"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75.7 (+0.7)</w:t>
            </w:r>
          </w:p>
        </w:tc>
        <w:tc>
          <w:tcPr>
            <w:tcW w:w="0" w:type="auto"/>
            <w:hideMark/>
          </w:tcPr>
          <w:p w14:paraId="29538A77"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91.0 (+1.0)</w:t>
            </w:r>
          </w:p>
        </w:tc>
        <w:tc>
          <w:tcPr>
            <w:tcW w:w="0" w:type="auto"/>
            <w:hideMark/>
          </w:tcPr>
          <w:p w14:paraId="04F3C77C"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97.5 (+0.0)</w:t>
            </w:r>
          </w:p>
        </w:tc>
      </w:tr>
      <w:tr w:rsidR="0021163A" w:rsidRPr="009D7CEC" w14:paraId="1051C9BD" w14:textId="77777777" w:rsidTr="00B2019B">
        <w:tc>
          <w:tcPr>
            <w:tcW w:w="0" w:type="auto"/>
            <w:hideMark/>
          </w:tcPr>
          <w:p w14:paraId="6DD70C00"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Arousal</w:t>
            </w:r>
          </w:p>
        </w:tc>
        <w:tc>
          <w:tcPr>
            <w:tcW w:w="0" w:type="auto"/>
            <w:hideMark/>
          </w:tcPr>
          <w:p w14:paraId="6DF446FF"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global</w:t>
            </w:r>
          </w:p>
        </w:tc>
        <w:tc>
          <w:tcPr>
            <w:tcW w:w="0" w:type="auto"/>
            <w:hideMark/>
          </w:tcPr>
          <w:p w14:paraId="4F548D29"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BCT</w:t>
            </w:r>
          </w:p>
        </w:tc>
        <w:tc>
          <w:tcPr>
            <w:tcW w:w="0" w:type="auto"/>
            <w:hideMark/>
          </w:tcPr>
          <w:p w14:paraId="79B846B7"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log†</w:t>
            </w:r>
          </w:p>
        </w:tc>
        <w:tc>
          <w:tcPr>
            <w:tcW w:w="0" w:type="auto"/>
            <w:hideMark/>
          </w:tcPr>
          <w:p w14:paraId="2D7DDF1B"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2.6 (+0.1)</w:t>
            </w:r>
          </w:p>
        </w:tc>
        <w:tc>
          <w:tcPr>
            <w:tcW w:w="0" w:type="auto"/>
            <w:hideMark/>
          </w:tcPr>
          <w:p w14:paraId="50E4D5C4"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10.4 (+0.4)</w:t>
            </w:r>
          </w:p>
        </w:tc>
        <w:tc>
          <w:tcPr>
            <w:tcW w:w="0" w:type="auto"/>
            <w:hideMark/>
          </w:tcPr>
          <w:p w14:paraId="75E99A90"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25.9 (+0.9)</w:t>
            </w:r>
          </w:p>
        </w:tc>
        <w:tc>
          <w:tcPr>
            <w:tcW w:w="0" w:type="auto"/>
            <w:hideMark/>
          </w:tcPr>
          <w:p w14:paraId="1DDB88C4"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49.0 (</w:t>
            </w:r>
            <w:r w:rsidRPr="009D7CEC">
              <w:rPr>
                <w:rFonts w:ascii="Aptos Narrow" w:hAnsi="Aptos Narrow" w:cs="Cambria Math"/>
                <w:b/>
                <w:bCs/>
                <w:i/>
                <w:iCs/>
                <w:color w:val="0E2841" w:themeColor="text2"/>
                <w:sz w:val="14"/>
                <w:szCs w:val="14"/>
                <w:lang w:val="en-US"/>
              </w:rPr>
              <w:t>-</w:t>
            </w:r>
            <w:r w:rsidRPr="009D7CEC">
              <w:rPr>
                <w:rFonts w:ascii="Aptos Narrow" w:hAnsi="Aptos Narrow" w:cs="DilleniaUPC"/>
                <w:b/>
                <w:bCs/>
                <w:i/>
                <w:iCs/>
                <w:color w:val="0E2841" w:themeColor="text2"/>
                <w:sz w:val="14"/>
                <w:szCs w:val="14"/>
                <w:lang w:val="en-US"/>
              </w:rPr>
              <w:t>1.0)</w:t>
            </w:r>
          </w:p>
        </w:tc>
        <w:tc>
          <w:tcPr>
            <w:tcW w:w="0" w:type="auto"/>
            <w:hideMark/>
          </w:tcPr>
          <w:p w14:paraId="0A1A83D3"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74.8 (</w:t>
            </w:r>
            <w:r w:rsidRPr="009D7CEC">
              <w:rPr>
                <w:rFonts w:ascii="Aptos Narrow" w:hAnsi="Aptos Narrow" w:cs="Cambria Math"/>
                <w:b/>
                <w:bCs/>
                <w:i/>
                <w:iCs/>
                <w:color w:val="0E2841" w:themeColor="text2"/>
                <w:sz w:val="14"/>
                <w:szCs w:val="14"/>
                <w:lang w:val="en-US"/>
              </w:rPr>
              <w:t>-</w:t>
            </w:r>
            <w:r w:rsidRPr="009D7CEC">
              <w:rPr>
                <w:rFonts w:ascii="Aptos Narrow" w:hAnsi="Aptos Narrow" w:cs="DilleniaUPC"/>
                <w:b/>
                <w:bCs/>
                <w:i/>
                <w:iCs/>
                <w:color w:val="0E2841" w:themeColor="text2"/>
                <w:sz w:val="14"/>
                <w:szCs w:val="14"/>
                <w:lang w:val="en-US"/>
              </w:rPr>
              <w:t>0.2)</w:t>
            </w:r>
          </w:p>
        </w:tc>
        <w:tc>
          <w:tcPr>
            <w:tcW w:w="0" w:type="auto"/>
            <w:hideMark/>
          </w:tcPr>
          <w:p w14:paraId="363FE71B"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90.3 (+0.3)</w:t>
            </w:r>
          </w:p>
        </w:tc>
        <w:tc>
          <w:tcPr>
            <w:tcW w:w="0" w:type="auto"/>
            <w:hideMark/>
          </w:tcPr>
          <w:p w14:paraId="4C91CC27"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97.6 (+0.1)</w:t>
            </w:r>
          </w:p>
        </w:tc>
      </w:tr>
      <w:tr w:rsidR="0021163A" w:rsidRPr="009D7CEC" w14:paraId="53E1B436" w14:textId="77777777" w:rsidTr="00B2019B">
        <w:tc>
          <w:tcPr>
            <w:tcW w:w="0" w:type="auto"/>
            <w:hideMark/>
          </w:tcPr>
          <w:p w14:paraId="2CB51BC5"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Valence</w:t>
            </w:r>
          </w:p>
        </w:tc>
        <w:tc>
          <w:tcPr>
            <w:tcW w:w="0" w:type="auto"/>
            <w:hideMark/>
          </w:tcPr>
          <w:p w14:paraId="3AF732AD"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global</w:t>
            </w:r>
          </w:p>
        </w:tc>
        <w:tc>
          <w:tcPr>
            <w:tcW w:w="0" w:type="auto"/>
            <w:hideMark/>
          </w:tcPr>
          <w:p w14:paraId="385FF615"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NO</w:t>
            </w:r>
          </w:p>
        </w:tc>
        <w:tc>
          <w:tcPr>
            <w:tcW w:w="0" w:type="auto"/>
            <w:hideMark/>
          </w:tcPr>
          <w:p w14:paraId="5470584C"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w:t>
            </w:r>
          </w:p>
        </w:tc>
        <w:tc>
          <w:tcPr>
            <w:tcW w:w="0" w:type="auto"/>
            <w:hideMark/>
          </w:tcPr>
          <w:p w14:paraId="74F83F30"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3.1 (+0.6)</w:t>
            </w:r>
          </w:p>
        </w:tc>
        <w:tc>
          <w:tcPr>
            <w:tcW w:w="0" w:type="auto"/>
            <w:hideMark/>
          </w:tcPr>
          <w:p w14:paraId="729CFDA2"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6.7 (</w:t>
            </w:r>
            <w:r w:rsidRPr="009D7CEC">
              <w:rPr>
                <w:rFonts w:ascii="Aptos Narrow" w:hAnsi="Aptos Narrow" w:cs="Cambria Math"/>
                <w:b/>
                <w:bCs/>
                <w:i/>
                <w:iCs/>
                <w:color w:val="0E2841" w:themeColor="text2"/>
                <w:sz w:val="14"/>
                <w:szCs w:val="14"/>
                <w:lang w:val="en-US"/>
              </w:rPr>
              <w:t>-</w:t>
            </w:r>
            <w:r w:rsidRPr="009D7CEC">
              <w:rPr>
                <w:rFonts w:ascii="Aptos Narrow" w:hAnsi="Aptos Narrow" w:cs="DilleniaUPC"/>
                <w:b/>
                <w:bCs/>
                <w:i/>
                <w:iCs/>
                <w:color w:val="0E2841" w:themeColor="text2"/>
                <w:sz w:val="14"/>
                <w:szCs w:val="14"/>
                <w:lang w:val="en-US"/>
              </w:rPr>
              <w:t>3.3) ‡</w:t>
            </w:r>
          </w:p>
        </w:tc>
        <w:tc>
          <w:tcPr>
            <w:tcW w:w="0" w:type="auto"/>
            <w:hideMark/>
          </w:tcPr>
          <w:p w14:paraId="0BBB30F5"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15.0 (</w:t>
            </w:r>
            <w:r w:rsidRPr="009D7CEC">
              <w:rPr>
                <w:rFonts w:ascii="Aptos Narrow" w:hAnsi="Aptos Narrow" w:cs="Cambria Math"/>
                <w:b/>
                <w:bCs/>
                <w:i/>
                <w:iCs/>
                <w:color w:val="0E2841" w:themeColor="text2"/>
                <w:sz w:val="14"/>
                <w:szCs w:val="14"/>
                <w:lang w:val="en-US"/>
              </w:rPr>
              <w:t>-</w:t>
            </w:r>
            <w:r w:rsidRPr="009D7CEC">
              <w:rPr>
                <w:rFonts w:ascii="Aptos Narrow" w:hAnsi="Aptos Narrow" w:cs="DilleniaUPC"/>
                <w:b/>
                <w:bCs/>
                <w:i/>
                <w:iCs/>
                <w:color w:val="0E2841" w:themeColor="text2"/>
                <w:sz w:val="14"/>
                <w:szCs w:val="14"/>
                <w:lang w:val="en-US"/>
              </w:rPr>
              <w:t>10.0) ‡</w:t>
            </w:r>
          </w:p>
        </w:tc>
        <w:tc>
          <w:tcPr>
            <w:tcW w:w="0" w:type="auto"/>
            <w:hideMark/>
          </w:tcPr>
          <w:p w14:paraId="2751D948"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50.3 (+0.3)</w:t>
            </w:r>
          </w:p>
        </w:tc>
        <w:tc>
          <w:tcPr>
            <w:tcW w:w="0" w:type="auto"/>
            <w:hideMark/>
          </w:tcPr>
          <w:p w14:paraId="0A09746E"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84.9 (+9.9) ‡</w:t>
            </w:r>
          </w:p>
        </w:tc>
        <w:tc>
          <w:tcPr>
            <w:tcW w:w="0" w:type="auto"/>
            <w:hideMark/>
          </w:tcPr>
          <w:p w14:paraId="27C44833"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93.6 (+3.6) ‡</w:t>
            </w:r>
          </w:p>
        </w:tc>
        <w:tc>
          <w:tcPr>
            <w:tcW w:w="0" w:type="auto"/>
            <w:hideMark/>
          </w:tcPr>
          <w:p w14:paraId="301294C2" w14:textId="77777777" w:rsidR="0021163A" w:rsidRPr="009D7CEC" w:rsidRDefault="0021163A" w:rsidP="00B2019B">
            <w:pPr>
              <w:spacing w:before="40" w:after="40"/>
              <w:rPr>
                <w:rFonts w:ascii="Aptos Narrow" w:hAnsi="Aptos Narrow" w:cs="DilleniaUPC"/>
                <w:b/>
                <w:bCs/>
                <w:i/>
                <w:iCs/>
                <w:color w:val="0E2841" w:themeColor="text2"/>
                <w:sz w:val="14"/>
                <w:szCs w:val="14"/>
                <w:lang w:val="en-US"/>
              </w:rPr>
            </w:pPr>
            <w:r w:rsidRPr="009D7CEC">
              <w:rPr>
                <w:rFonts w:ascii="Aptos Narrow" w:hAnsi="Aptos Narrow" w:cs="DilleniaUPC"/>
                <w:b/>
                <w:bCs/>
                <w:i/>
                <w:iCs/>
                <w:color w:val="0E2841" w:themeColor="text2"/>
                <w:sz w:val="14"/>
                <w:szCs w:val="14"/>
                <w:lang w:val="en-US"/>
              </w:rPr>
              <w:t>97.9 (+0.4)</w:t>
            </w:r>
          </w:p>
        </w:tc>
      </w:tr>
    </w:tbl>
    <w:p w14:paraId="14CB5E60" w14:textId="77777777" w:rsidR="0021163A" w:rsidRPr="006F705D" w:rsidRDefault="0021163A" w:rsidP="0021163A">
      <w:pPr>
        <w:spacing w:before="60"/>
        <w:rPr>
          <w:i/>
          <w:iCs/>
          <w:color w:val="0E2841" w:themeColor="text2"/>
          <w:sz w:val="20"/>
          <w:szCs w:val="20"/>
          <w:lang w:val="en-US"/>
        </w:rPr>
      </w:pPr>
      <w:proofErr w:type="gramStart"/>
      <w:r>
        <w:rPr>
          <w:i/>
          <w:iCs/>
          <w:color w:val="0E2841" w:themeColor="text2"/>
          <w:sz w:val="20"/>
          <w:szCs w:val="20"/>
          <w:lang w:val="fr-CA"/>
        </w:rPr>
        <w:t>pp</w:t>
      </w:r>
      <w:proofErr w:type="gramEnd"/>
      <w:r>
        <w:rPr>
          <w:i/>
          <w:iCs/>
          <w:color w:val="0E2841" w:themeColor="text2"/>
          <w:sz w:val="20"/>
          <w:szCs w:val="20"/>
          <w:lang w:val="fr-CA"/>
        </w:rPr>
        <w:t xml:space="preserve"> = percentage points. NO = Normal; BCT = Box-Cox t distribution. </w:t>
      </w:r>
      <w:r>
        <w:rPr>
          <w:i/>
          <w:iCs/>
          <w:color w:val="0E2841" w:themeColor="text2"/>
          <w:sz w:val="20"/>
          <w:szCs w:val="20"/>
          <w:lang w:val="en-US"/>
        </w:rPr>
        <w:t>TBR was pooled across 19 electrode models. ‡ |Δ| &gt; 3 pp. † BCT fitted on raw data; log-transform redundant (absorbed by BCT's ν parameter).</w:t>
      </w:r>
    </w:p>
    <w:p w14:paraId="58F04BC9" w14:textId="77777777" w:rsidR="0021163A" w:rsidRPr="006F705D" w:rsidRDefault="0021163A" w:rsidP="0021163A">
      <w:pPr>
        <w:rPr>
          <w:i/>
          <w:iCs/>
          <w:color w:val="0E2841" w:themeColor="text2"/>
          <w:sz w:val="20"/>
          <w:szCs w:val="20"/>
          <w:lang w:val="en-US"/>
        </w:rPr>
      </w:pPr>
      <w:r>
        <w:rPr>
          <w:i/>
          <w:iCs/>
          <w:color w:val="0E2841" w:themeColor="text2"/>
          <w:sz w:val="20"/>
          <w:szCs w:val="20"/>
          <w:lang w:val="en-US"/>
        </w:rPr>
        <w:t xml:space="preserve">TBR and Arousal show excellent calibration across all centiles (max |Δ| &lt; 1.4 pp and &lt; 1.0 pp, respectively). Valence (NO) shows systematic </w:t>
      </w:r>
      <w:proofErr w:type="spellStart"/>
      <w:r>
        <w:rPr>
          <w:i/>
          <w:iCs/>
          <w:color w:val="0E2841" w:themeColor="text2"/>
          <w:sz w:val="20"/>
          <w:szCs w:val="20"/>
          <w:lang w:val="en-US"/>
        </w:rPr>
        <w:t>underdispersion</w:t>
      </w:r>
      <w:proofErr w:type="spellEnd"/>
      <w:r>
        <w:rPr>
          <w:i/>
          <w:iCs/>
          <w:color w:val="0E2841" w:themeColor="text2"/>
          <w:sz w:val="20"/>
          <w:szCs w:val="20"/>
          <w:lang w:val="en-US"/>
        </w:rPr>
        <w:t xml:space="preserve"> in the central quantiles (p25: -10.0 pp; p75: +9.9 pp), consistent with leptokurtic residuals not captured by the Normal family; a BCT refit is recommended for future versions.</w:t>
      </w:r>
    </w:p>
    <w:p w14:paraId="15983FBB" w14:textId="77777777" w:rsidR="0021163A" w:rsidRPr="00E63324" w:rsidRDefault="0021163A" w:rsidP="0021163A">
      <w:pPr>
        <w:rPr>
          <w:b/>
          <w:bCs/>
          <w:i/>
          <w:iCs/>
          <w:color w:val="0E2841" w:themeColor="text2"/>
          <w:lang w:val="en-US"/>
        </w:rPr>
      </w:pPr>
    </w:p>
    <w:p w14:paraId="0CD19705" w14:textId="77777777" w:rsidR="0021163A" w:rsidRPr="00E63324" w:rsidRDefault="0021163A" w:rsidP="0021163A">
      <w:pPr>
        <w:spacing w:after="200"/>
        <w:rPr>
          <w:b/>
          <w:bCs/>
          <w:i/>
          <w:iCs/>
          <w:color w:val="0E2841" w:themeColor="text2"/>
          <w:lang w:val="en-US"/>
        </w:rPr>
      </w:pPr>
      <w:r w:rsidRPr="00E63324">
        <w:rPr>
          <w:b/>
          <w:bCs/>
          <w:i/>
          <w:iCs/>
          <w:color w:val="0E2841" w:themeColor="text2"/>
          <w:lang w:val="en-US"/>
        </w:rPr>
        <w:t>Supplementary Table 3. Adaptive distributional family selection criteria in GAMLSS normative modeling</w:t>
      </w:r>
    </w:p>
    <w:tbl>
      <w:tblPr>
        <w:tblStyle w:val="TableGrid"/>
        <w:tblW w:w="0" w:type="auto"/>
        <w:tblLook w:val="04A0" w:firstRow="1" w:lastRow="0" w:firstColumn="1" w:lastColumn="0" w:noHBand="0" w:noVBand="1"/>
      </w:tblPr>
      <w:tblGrid>
        <w:gridCol w:w="1696"/>
        <w:gridCol w:w="1276"/>
        <w:gridCol w:w="1559"/>
        <w:gridCol w:w="4819"/>
      </w:tblGrid>
      <w:tr w:rsidR="0021163A" w:rsidRPr="0045348D" w14:paraId="45E20CF3" w14:textId="77777777" w:rsidTr="00B2019B">
        <w:tc>
          <w:tcPr>
            <w:tcW w:w="1696" w:type="dxa"/>
            <w:vAlign w:val="center"/>
            <w:hideMark/>
          </w:tcPr>
          <w:p w14:paraId="5F9B4320" w14:textId="77777777" w:rsidR="0021163A" w:rsidRPr="0045348D" w:rsidRDefault="0021163A" w:rsidP="00B2019B">
            <w:pPr>
              <w:spacing w:before="40" w:after="40"/>
              <w:jc w:val="center"/>
              <w:rPr>
                <w:rFonts w:ascii="Aptos Narrow" w:eastAsia="MingLiU" w:hAnsi="Aptos Narrow" w:cs="DilleniaUPC"/>
                <w:b/>
                <w:bCs/>
                <w:color w:val="0E2841" w:themeColor="text2"/>
                <w:sz w:val="18"/>
                <w:szCs w:val="18"/>
                <w:lang w:val="en-US"/>
              </w:rPr>
            </w:pPr>
            <w:r w:rsidRPr="0045348D">
              <w:rPr>
                <w:rFonts w:ascii="Aptos Narrow" w:eastAsia="MingLiU" w:hAnsi="Aptos Narrow" w:cs="DilleniaUPC"/>
                <w:b/>
                <w:bCs/>
                <w:color w:val="0E2841" w:themeColor="text2"/>
                <w:sz w:val="18"/>
                <w:szCs w:val="18"/>
                <w:lang w:val="en-US"/>
              </w:rPr>
              <w:t>Condition</w:t>
            </w:r>
          </w:p>
        </w:tc>
        <w:tc>
          <w:tcPr>
            <w:tcW w:w="1276" w:type="dxa"/>
            <w:vAlign w:val="center"/>
            <w:hideMark/>
          </w:tcPr>
          <w:p w14:paraId="626B1830" w14:textId="77777777" w:rsidR="0021163A" w:rsidRPr="0045348D" w:rsidRDefault="0021163A" w:rsidP="00B2019B">
            <w:pPr>
              <w:spacing w:before="40" w:after="40"/>
              <w:jc w:val="center"/>
              <w:rPr>
                <w:rFonts w:ascii="Aptos Narrow" w:eastAsia="MingLiU" w:hAnsi="Aptos Narrow" w:cs="DilleniaUPC"/>
                <w:b/>
                <w:bCs/>
                <w:color w:val="0E2841" w:themeColor="text2"/>
                <w:sz w:val="18"/>
                <w:szCs w:val="18"/>
                <w:lang w:val="en-US"/>
              </w:rPr>
            </w:pPr>
            <w:r w:rsidRPr="0045348D">
              <w:rPr>
                <w:rFonts w:ascii="Aptos Narrow" w:eastAsia="MingLiU" w:hAnsi="Aptos Narrow" w:cs="DilleniaUPC"/>
                <w:b/>
                <w:bCs/>
                <w:color w:val="0E2841" w:themeColor="text2"/>
                <w:sz w:val="18"/>
                <w:szCs w:val="18"/>
                <w:lang w:val="en-US"/>
              </w:rPr>
              <w:t>Criteria met (out of 3)</w:t>
            </w:r>
          </w:p>
        </w:tc>
        <w:tc>
          <w:tcPr>
            <w:tcW w:w="1559" w:type="dxa"/>
            <w:vAlign w:val="center"/>
            <w:hideMark/>
          </w:tcPr>
          <w:p w14:paraId="418BC30D" w14:textId="77777777" w:rsidR="0021163A" w:rsidRPr="0045348D" w:rsidRDefault="0021163A" w:rsidP="00B2019B">
            <w:pPr>
              <w:spacing w:before="40" w:after="40"/>
              <w:jc w:val="center"/>
              <w:rPr>
                <w:rFonts w:ascii="Aptos Narrow" w:eastAsia="MingLiU" w:hAnsi="Aptos Narrow" w:cs="DilleniaUPC"/>
                <w:b/>
                <w:bCs/>
                <w:color w:val="0E2841" w:themeColor="text2"/>
                <w:sz w:val="18"/>
                <w:szCs w:val="18"/>
                <w:lang w:val="en-US"/>
              </w:rPr>
            </w:pPr>
            <w:r w:rsidRPr="0045348D">
              <w:rPr>
                <w:rFonts w:ascii="Aptos Narrow" w:eastAsia="MingLiU" w:hAnsi="Aptos Narrow" w:cs="DilleniaUPC"/>
                <w:b/>
                <w:bCs/>
                <w:color w:val="0E2841" w:themeColor="text2"/>
                <w:sz w:val="18"/>
                <w:szCs w:val="18"/>
                <w:lang w:val="en-US"/>
              </w:rPr>
              <w:t>Family sequence</w:t>
            </w:r>
          </w:p>
        </w:tc>
        <w:tc>
          <w:tcPr>
            <w:tcW w:w="4819" w:type="dxa"/>
            <w:vAlign w:val="center"/>
            <w:hideMark/>
          </w:tcPr>
          <w:p w14:paraId="29C6ACDB" w14:textId="77777777" w:rsidR="0021163A" w:rsidRPr="0045348D" w:rsidRDefault="0021163A" w:rsidP="00B2019B">
            <w:pPr>
              <w:spacing w:before="40" w:after="40"/>
              <w:jc w:val="center"/>
              <w:rPr>
                <w:rFonts w:ascii="Aptos Narrow" w:eastAsia="MingLiU" w:hAnsi="Aptos Narrow" w:cs="DilleniaUPC"/>
                <w:b/>
                <w:bCs/>
                <w:color w:val="0E2841" w:themeColor="text2"/>
                <w:sz w:val="18"/>
                <w:szCs w:val="18"/>
                <w:lang w:val="en-US"/>
              </w:rPr>
            </w:pPr>
            <w:r w:rsidRPr="0045348D">
              <w:rPr>
                <w:rFonts w:ascii="Aptos Narrow" w:eastAsia="MingLiU" w:hAnsi="Aptos Narrow" w:cs="DilleniaUPC"/>
                <w:b/>
                <w:bCs/>
                <w:color w:val="0E2841" w:themeColor="text2"/>
                <w:sz w:val="18"/>
                <w:szCs w:val="18"/>
                <w:lang w:val="en-US"/>
              </w:rPr>
              <w:t>Rationale</w:t>
            </w:r>
          </w:p>
        </w:tc>
      </w:tr>
      <w:tr w:rsidR="0021163A" w:rsidRPr="0045348D" w14:paraId="7CFDF454" w14:textId="77777777" w:rsidTr="00B2019B">
        <w:tc>
          <w:tcPr>
            <w:tcW w:w="1696" w:type="dxa"/>
            <w:vAlign w:val="center"/>
            <w:hideMark/>
          </w:tcPr>
          <w:p w14:paraId="0C179362" w14:textId="77777777" w:rsidR="0021163A" w:rsidRPr="0045348D" w:rsidRDefault="0021163A" w:rsidP="00B2019B">
            <w:pPr>
              <w:spacing w:before="40" w:after="40"/>
              <w:rPr>
                <w:rFonts w:ascii="Aptos Narrow" w:eastAsia="MingLiU" w:hAnsi="Aptos Narrow" w:cs="DilleniaUPC"/>
                <w:color w:val="0E2841" w:themeColor="text2"/>
                <w:sz w:val="18"/>
                <w:szCs w:val="18"/>
                <w:lang w:val="en-US"/>
              </w:rPr>
            </w:pPr>
            <w:r w:rsidRPr="0045348D">
              <w:rPr>
                <w:rFonts w:ascii="Aptos Narrow" w:eastAsia="MingLiU" w:hAnsi="Aptos Narrow" w:cs="DilleniaUPC"/>
                <w:color w:val="0E2841" w:themeColor="text2"/>
                <w:sz w:val="18"/>
                <w:szCs w:val="18"/>
                <w:lang w:val="en-US"/>
              </w:rPr>
              <w:t>Raw data strictly positive (y &gt; 0)</w:t>
            </w:r>
          </w:p>
        </w:tc>
        <w:tc>
          <w:tcPr>
            <w:tcW w:w="1276" w:type="dxa"/>
            <w:vAlign w:val="center"/>
            <w:hideMark/>
          </w:tcPr>
          <w:p w14:paraId="7F7DC68D" w14:textId="77777777" w:rsidR="0021163A" w:rsidRPr="0045348D" w:rsidRDefault="0021163A" w:rsidP="00B2019B">
            <w:pPr>
              <w:spacing w:before="40" w:after="40"/>
              <w:rPr>
                <w:rFonts w:ascii="Aptos Narrow" w:eastAsia="MingLiU" w:hAnsi="Aptos Narrow" w:cs="DilleniaUPC"/>
                <w:color w:val="0E2841" w:themeColor="text2"/>
                <w:sz w:val="18"/>
                <w:szCs w:val="18"/>
                <w:lang w:val="en-US"/>
              </w:rPr>
            </w:pPr>
            <w:r w:rsidRPr="0045348D">
              <w:rPr>
                <w:rFonts w:ascii="Aptos Narrow" w:eastAsia="MingLiU" w:hAnsi="Aptos Narrow" w:cs="Cambria Math"/>
                <w:color w:val="0E2841" w:themeColor="text2"/>
                <w:sz w:val="18"/>
                <w:szCs w:val="18"/>
                <w:lang w:val="en-US"/>
              </w:rPr>
              <w:t>≥</w:t>
            </w:r>
            <w:r w:rsidRPr="0045348D">
              <w:rPr>
                <w:rFonts w:ascii="Aptos Narrow" w:eastAsia="MingLiU" w:hAnsi="Aptos Narrow" w:cs="DilleniaUPC"/>
                <w:color w:val="0E2841" w:themeColor="text2"/>
                <w:sz w:val="18"/>
                <w:szCs w:val="18"/>
                <w:lang w:val="en-US"/>
              </w:rPr>
              <w:t xml:space="preserve"> 2</w:t>
            </w:r>
          </w:p>
        </w:tc>
        <w:tc>
          <w:tcPr>
            <w:tcW w:w="1559" w:type="dxa"/>
            <w:vAlign w:val="center"/>
            <w:hideMark/>
          </w:tcPr>
          <w:p w14:paraId="17371905" w14:textId="77777777" w:rsidR="0021163A" w:rsidRPr="0045348D" w:rsidRDefault="0021163A" w:rsidP="00B2019B">
            <w:pPr>
              <w:spacing w:before="40" w:after="40"/>
              <w:rPr>
                <w:rFonts w:ascii="Aptos Narrow" w:eastAsia="MingLiU" w:hAnsi="Aptos Narrow" w:cs="DilleniaUPC"/>
                <w:color w:val="0E2841" w:themeColor="text2"/>
                <w:sz w:val="18"/>
                <w:szCs w:val="18"/>
                <w:lang w:val="en-US"/>
              </w:rPr>
            </w:pPr>
            <w:r w:rsidRPr="0045348D">
              <w:rPr>
                <w:rFonts w:ascii="Aptos Narrow" w:eastAsia="MingLiU" w:hAnsi="Aptos Narrow" w:cs="DilleniaUPC"/>
                <w:color w:val="0E2841" w:themeColor="text2"/>
                <w:sz w:val="18"/>
                <w:szCs w:val="18"/>
                <w:lang w:val="en-US"/>
              </w:rPr>
              <w:t xml:space="preserve">BCT </w:t>
            </w:r>
            <w:r w:rsidRPr="0045348D">
              <w:rPr>
                <w:rFonts w:ascii="Aptos Narrow" w:eastAsia="MingLiU" w:hAnsi="Aptos Narrow"/>
                <w:color w:val="0E2841" w:themeColor="text2"/>
                <w:sz w:val="18"/>
                <w:szCs w:val="18"/>
                <w:lang w:val="en-US"/>
              </w:rPr>
              <w:t>→</w:t>
            </w:r>
            <w:r w:rsidRPr="0045348D">
              <w:rPr>
                <w:rFonts w:ascii="Aptos Narrow" w:eastAsia="MingLiU" w:hAnsi="Aptos Narrow" w:cs="DilleniaUPC"/>
                <w:color w:val="0E2841" w:themeColor="text2"/>
                <w:sz w:val="18"/>
                <w:szCs w:val="18"/>
                <w:lang w:val="en-US"/>
              </w:rPr>
              <w:t xml:space="preserve"> BCPE </w:t>
            </w:r>
            <w:r w:rsidRPr="0045348D">
              <w:rPr>
                <w:rFonts w:ascii="Aptos Narrow" w:eastAsia="MingLiU" w:hAnsi="Aptos Narrow"/>
                <w:color w:val="0E2841" w:themeColor="text2"/>
                <w:sz w:val="18"/>
                <w:szCs w:val="18"/>
                <w:lang w:val="en-US"/>
              </w:rPr>
              <w:t>→</w:t>
            </w:r>
            <w:r w:rsidRPr="0045348D">
              <w:rPr>
                <w:rFonts w:ascii="Aptos Narrow" w:eastAsia="MingLiU" w:hAnsi="Aptos Narrow" w:cs="DilleniaUPC"/>
                <w:color w:val="0E2841" w:themeColor="text2"/>
                <w:sz w:val="18"/>
                <w:szCs w:val="18"/>
                <w:lang w:val="en-US"/>
              </w:rPr>
              <w:t xml:space="preserve"> NO</w:t>
            </w:r>
          </w:p>
        </w:tc>
        <w:tc>
          <w:tcPr>
            <w:tcW w:w="4819" w:type="dxa"/>
            <w:vAlign w:val="center"/>
            <w:hideMark/>
          </w:tcPr>
          <w:p w14:paraId="37C789CB" w14:textId="77777777" w:rsidR="0021163A" w:rsidRPr="0045348D" w:rsidRDefault="0021163A" w:rsidP="00B2019B">
            <w:pPr>
              <w:spacing w:before="40" w:after="40"/>
              <w:rPr>
                <w:rFonts w:ascii="Aptos Narrow" w:eastAsia="MingLiU" w:hAnsi="Aptos Narrow" w:cs="DilleniaUPC"/>
                <w:color w:val="0E2841" w:themeColor="text2"/>
                <w:sz w:val="18"/>
                <w:szCs w:val="18"/>
                <w:lang w:val="en-US"/>
              </w:rPr>
            </w:pPr>
            <w:r w:rsidRPr="0045348D">
              <w:rPr>
                <w:rFonts w:ascii="Aptos Narrow" w:eastAsia="MingLiU" w:hAnsi="Aptos Narrow" w:cs="DilleniaUPC"/>
                <w:color w:val="0E2841" w:themeColor="text2"/>
                <w:sz w:val="18"/>
                <w:szCs w:val="18"/>
                <w:lang w:val="en-US"/>
              </w:rPr>
              <w:t xml:space="preserve">BCT handles asymmetry and heavy tails via shape parameters </w:t>
            </w:r>
            <w:r w:rsidRPr="0045348D">
              <w:rPr>
                <w:rFonts w:ascii="Aptos Narrow" w:eastAsia="MingLiU" w:hAnsi="Aptos Narrow" w:cs="Calibri"/>
                <w:color w:val="0E2841" w:themeColor="text2"/>
                <w:sz w:val="18"/>
                <w:szCs w:val="18"/>
                <w:lang w:val="en-US"/>
              </w:rPr>
              <w:t>ν</w:t>
            </w:r>
            <w:r w:rsidRPr="0045348D">
              <w:rPr>
                <w:rFonts w:ascii="Aptos Narrow" w:eastAsia="MingLiU" w:hAnsi="Aptos Narrow" w:cs="DilleniaUPC"/>
                <w:color w:val="0E2841" w:themeColor="text2"/>
                <w:sz w:val="18"/>
                <w:szCs w:val="18"/>
                <w:lang w:val="en-US"/>
              </w:rPr>
              <w:t xml:space="preserve"> and </w:t>
            </w:r>
            <w:r w:rsidRPr="0045348D">
              <w:rPr>
                <w:rFonts w:ascii="Aptos Narrow" w:eastAsia="MingLiU" w:hAnsi="Aptos Narrow" w:cs="Calibri"/>
                <w:color w:val="0E2841" w:themeColor="text2"/>
                <w:sz w:val="18"/>
                <w:szCs w:val="18"/>
                <w:lang w:val="en-US"/>
              </w:rPr>
              <w:t>τ</w:t>
            </w:r>
            <w:r w:rsidRPr="0045348D">
              <w:rPr>
                <w:rFonts w:ascii="Aptos Narrow" w:eastAsia="MingLiU" w:hAnsi="Aptos Narrow" w:cs="DilleniaUPC"/>
                <w:color w:val="0E2841" w:themeColor="text2"/>
                <w:sz w:val="18"/>
                <w:szCs w:val="18"/>
                <w:lang w:val="en-US"/>
              </w:rPr>
              <w:t>; log pre-transform is redundant</w:t>
            </w:r>
          </w:p>
        </w:tc>
      </w:tr>
      <w:tr w:rsidR="0021163A" w:rsidRPr="0045348D" w14:paraId="70EE9ADC" w14:textId="77777777" w:rsidTr="00B2019B">
        <w:tc>
          <w:tcPr>
            <w:tcW w:w="1696" w:type="dxa"/>
            <w:vAlign w:val="center"/>
            <w:hideMark/>
          </w:tcPr>
          <w:p w14:paraId="35933493" w14:textId="77777777" w:rsidR="0021163A" w:rsidRPr="0045348D" w:rsidRDefault="0021163A" w:rsidP="00B2019B">
            <w:pPr>
              <w:spacing w:before="40" w:after="40"/>
              <w:rPr>
                <w:rFonts w:ascii="Aptos Narrow" w:eastAsia="MingLiU" w:hAnsi="Aptos Narrow" w:cs="DilleniaUPC"/>
                <w:color w:val="0E2841" w:themeColor="text2"/>
                <w:sz w:val="18"/>
                <w:szCs w:val="18"/>
                <w:lang w:val="en-US"/>
              </w:rPr>
            </w:pPr>
            <w:r w:rsidRPr="0045348D">
              <w:rPr>
                <w:rFonts w:ascii="Aptos Narrow" w:eastAsia="MingLiU" w:hAnsi="Aptos Narrow" w:cs="DilleniaUPC"/>
                <w:color w:val="0E2841" w:themeColor="text2"/>
                <w:sz w:val="18"/>
                <w:szCs w:val="18"/>
                <w:lang w:val="en-US"/>
              </w:rPr>
              <w:t>Raw data includes negative values</w:t>
            </w:r>
          </w:p>
        </w:tc>
        <w:tc>
          <w:tcPr>
            <w:tcW w:w="1276" w:type="dxa"/>
            <w:vAlign w:val="center"/>
            <w:hideMark/>
          </w:tcPr>
          <w:p w14:paraId="6B54C131" w14:textId="77777777" w:rsidR="0021163A" w:rsidRPr="0045348D" w:rsidRDefault="0021163A" w:rsidP="00B2019B">
            <w:pPr>
              <w:spacing w:before="40" w:after="40"/>
              <w:rPr>
                <w:rFonts w:ascii="Aptos Narrow" w:eastAsia="MingLiU" w:hAnsi="Aptos Narrow" w:cs="DilleniaUPC"/>
                <w:color w:val="0E2841" w:themeColor="text2"/>
                <w:sz w:val="18"/>
                <w:szCs w:val="18"/>
                <w:lang w:val="en-US"/>
              </w:rPr>
            </w:pPr>
            <w:r w:rsidRPr="0045348D">
              <w:rPr>
                <w:rFonts w:ascii="Aptos Narrow" w:eastAsia="MingLiU" w:hAnsi="Aptos Narrow" w:cs="Cambria Math"/>
                <w:color w:val="0E2841" w:themeColor="text2"/>
                <w:sz w:val="18"/>
                <w:szCs w:val="18"/>
                <w:lang w:val="en-US"/>
              </w:rPr>
              <w:t>≥</w:t>
            </w:r>
            <w:r w:rsidRPr="0045348D">
              <w:rPr>
                <w:rFonts w:ascii="Aptos Narrow" w:eastAsia="MingLiU" w:hAnsi="Aptos Narrow" w:cs="DilleniaUPC"/>
                <w:color w:val="0E2841" w:themeColor="text2"/>
                <w:sz w:val="18"/>
                <w:szCs w:val="18"/>
                <w:lang w:val="en-US"/>
              </w:rPr>
              <w:t xml:space="preserve"> 2</w:t>
            </w:r>
          </w:p>
        </w:tc>
        <w:tc>
          <w:tcPr>
            <w:tcW w:w="1559" w:type="dxa"/>
            <w:vAlign w:val="center"/>
            <w:hideMark/>
          </w:tcPr>
          <w:p w14:paraId="2D84742E" w14:textId="77777777" w:rsidR="0021163A" w:rsidRPr="0045348D" w:rsidRDefault="0021163A" w:rsidP="00B2019B">
            <w:pPr>
              <w:spacing w:before="40" w:after="40"/>
              <w:rPr>
                <w:rFonts w:ascii="Aptos Narrow" w:eastAsia="MingLiU" w:hAnsi="Aptos Narrow" w:cs="DilleniaUPC"/>
                <w:color w:val="0E2841" w:themeColor="text2"/>
                <w:sz w:val="18"/>
                <w:szCs w:val="18"/>
                <w:lang w:val="en-US"/>
              </w:rPr>
            </w:pPr>
            <w:r w:rsidRPr="0045348D">
              <w:rPr>
                <w:rFonts w:ascii="Aptos Narrow" w:eastAsia="MingLiU" w:hAnsi="Aptos Narrow" w:cs="DilleniaUPC"/>
                <w:color w:val="0E2841" w:themeColor="text2"/>
                <w:sz w:val="18"/>
                <w:szCs w:val="18"/>
                <w:lang w:val="en-US"/>
              </w:rPr>
              <w:t>NO directly</w:t>
            </w:r>
          </w:p>
        </w:tc>
        <w:tc>
          <w:tcPr>
            <w:tcW w:w="4819" w:type="dxa"/>
            <w:vAlign w:val="center"/>
            <w:hideMark/>
          </w:tcPr>
          <w:p w14:paraId="4D69DA75" w14:textId="77777777" w:rsidR="0021163A" w:rsidRPr="0045348D" w:rsidRDefault="0021163A" w:rsidP="00B2019B">
            <w:pPr>
              <w:spacing w:before="40" w:after="40"/>
              <w:rPr>
                <w:rFonts w:ascii="Aptos Narrow" w:eastAsia="MingLiU" w:hAnsi="Aptos Narrow" w:cs="DilleniaUPC"/>
                <w:color w:val="0E2841" w:themeColor="text2"/>
                <w:sz w:val="18"/>
                <w:szCs w:val="18"/>
                <w:lang w:val="en-US"/>
              </w:rPr>
            </w:pPr>
            <w:r w:rsidRPr="0045348D">
              <w:rPr>
                <w:rFonts w:ascii="Aptos Narrow" w:eastAsia="MingLiU" w:hAnsi="Aptos Narrow" w:cs="DilleniaUPC"/>
                <w:color w:val="0E2841" w:themeColor="text2"/>
                <w:sz w:val="18"/>
                <w:szCs w:val="18"/>
                <w:lang w:val="en-US"/>
              </w:rPr>
              <w:t xml:space="preserve">Empirically verified: JSU/SHASHo overestimate </w:t>
            </w:r>
            <w:r w:rsidRPr="0045348D">
              <w:rPr>
                <w:rFonts w:ascii="Aptos Narrow" w:eastAsia="MingLiU" w:hAnsi="Aptos Narrow" w:cs="Calibri"/>
                <w:color w:val="0E2841" w:themeColor="text2"/>
                <w:sz w:val="18"/>
                <w:szCs w:val="18"/>
                <w:lang w:val="en-US"/>
              </w:rPr>
              <w:t>σ</w:t>
            </w:r>
            <w:r w:rsidRPr="0045348D">
              <w:rPr>
                <w:rFonts w:ascii="Aptos Narrow" w:eastAsia="MingLiU" w:hAnsi="Aptos Narrow" w:cs="DilleniaUPC"/>
                <w:color w:val="0E2841" w:themeColor="text2"/>
                <w:sz w:val="18"/>
                <w:szCs w:val="18"/>
                <w:lang w:val="en-US"/>
              </w:rPr>
              <w:t xml:space="preserve"> for spike-and-slab distributions (e.g. Valence/FAA)</w:t>
            </w:r>
          </w:p>
        </w:tc>
      </w:tr>
      <w:tr w:rsidR="0021163A" w:rsidRPr="0045348D" w14:paraId="6908F79C" w14:textId="77777777" w:rsidTr="00B2019B">
        <w:tc>
          <w:tcPr>
            <w:tcW w:w="1696" w:type="dxa"/>
            <w:vAlign w:val="center"/>
            <w:hideMark/>
          </w:tcPr>
          <w:p w14:paraId="0CB7DA65" w14:textId="77777777" w:rsidR="0021163A" w:rsidRPr="0045348D" w:rsidRDefault="0021163A" w:rsidP="00B2019B">
            <w:pPr>
              <w:spacing w:before="40" w:after="40"/>
              <w:rPr>
                <w:rFonts w:ascii="Aptos Narrow" w:eastAsia="MingLiU" w:hAnsi="Aptos Narrow" w:cs="DilleniaUPC"/>
                <w:color w:val="0E2841" w:themeColor="text2"/>
                <w:sz w:val="18"/>
                <w:szCs w:val="18"/>
                <w:lang w:val="en-US"/>
              </w:rPr>
            </w:pPr>
            <w:r w:rsidRPr="0045348D">
              <w:rPr>
                <w:rFonts w:ascii="Aptos Narrow" w:eastAsia="MingLiU" w:hAnsi="Aptos Narrow" w:cs="DilleniaUPC"/>
                <w:color w:val="0E2841" w:themeColor="text2"/>
                <w:sz w:val="18"/>
                <w:szCs w:val="18"/>
                <w:lang w:val="en-US"/>
              </w:rPr>
              <w:t>Raw data strictly positive (y &gt; 0)</w:t>
            </w:r>
          </w:p>
        </w:tc>
        <w:tc>
          <w:tcPr>
            <w:tcW w:w="1276" w:type="dxa"/>
            <w:vAlign w:val="center"/>
            <w:hideMark/>
          </w:tcPr>
          <w:p w14:paraId="0441FA89" w14:textId="77777777" w:rsidR="0021163A" w:rsidRPr="0045348D" w:rsidRDefault="0021163A" w:rsidP="00B2019B">
            <w:pPr>
              <w:spacing w:before="40" w:after="40"/>
              <w:rPr>
                <w:rFonts w:ascii="Aptos Narrow" w:eastAsia="MingLiU" w:hAnsi="Aptos Narrow" w:cs="DilleniaUPC"/>
                <w:color w:val="0E2841" w:themeColor="text2"/>
                <w:sz w:val="18"/>
                <w:szCs w:val="18"/>
                <w:lang w:val="en-US"/>
              </w:rPr>
            </w:pPr>
            <w:r w:rsidRPr="0045348D">
              <w:rPr>
                <w:rFonts w:ascii="Aptos Narrow" w:eastAsia="MingLiU" w:hAnsi="Aptos Narrow" w:cs="DilleniaUPC"/>
                <w:color w:val="0E2841" w:themeColor="text2"/>
                <w:sz w:val="18"/>
                <w:szCs w:val="18"/>
                <w:lang w:val="en-US"/>
              </w:rPr>
              <w:t>1</w:t>
            </w:r>
          </w:p>
        </w:tc>
        <w:tc>
          <w:tcPr>
            <w:tcW w:w="1559" w:type="dxa"/>
            <w:vAlign w:val="center"/>
            <w:hideMark/>
          </w:tcPr>
          <w:p w14:paraId="723502D4" w14:textId="77777777" w:rsidR="0021163A" w:rsidRPr="0045348D" w:rsidRDefault="0021163A" w:rsidP="00B2019B">
            <w:pPr>
              <w:spacing w:before="40" w:after="40"/>
              <w:rPr>
                <w:rFonts w:ascii="Aptos Narrow" w:eastAsia="MingLiU" w:hAnsi="Aptos Narrow" w:cs="DilleniaUPC"/>
                <w:color w:val="0E2841" w:themeColor="text2"/>
                <w:sz w:val="18"/>
                <w:szCs w:val="18"/>
                <w:lang w:val="en-US"/>
              </w:rPr>
            </w:pPr>
            <w:r w:rsidRPr="0045348D">
              <w:rPr>
                <w:rFonts w:ascii="Aptos Narrow" w:eastAsia="MingLiU" w:hAnsi="Aptos Narrow" w:cs="DilleniaUPC"/>
                <w:color w:val="0E2841" w:themeColor="text2"/>
                <w:sz w:val="18"/>
                <w:szCs w:val="18"/>
                <w:lang w:val="en-US"/>
              </w:rPr>
              <w:t xml:space="preserve">BCPE </w:t>
            </w:r>
            <w:r w:rsidRPr="0045348D">
              <w:rPr>
                <w:rFonts w:ascii="Aptos Narrow" w:eastAsia="MingLiU" w:hAnsi="Aptos Narrow"/>
                <w:color w:val="0E2841" w:themeColor="text2"/>
                <w:sz w:val="18"/>
                <w:szCs w:val="18"/>
                <w:lang w:val="en-US"/>
              </w:rPr>
              <w:t>→</w:t>
            </w:r>
            <w:r w:rsidRPr="0045348D">
              <w:rPr>
                <w:rFonts w:ascii="Aptos Narrow" w:eastAsia="MingLiU" w:hAnsi="Aptos Narrow" w:cs="DilleniaUPC"/>
                <w:color w:val="0E2841" w:themeColor="text2"/>
                <w:sz w:val="18"/>
                <w:szCs w:val="18"/>
                <w:lang w:val="en-US"/>
              </w:rPr>
              <w:t xml:space="preserve"> NO</w:t>
            </w:r>
          </w:p>
        </w:tc>
        <w:tc>
          <w:tcPr>
            <w:tcW w:w="4819" w:type="dxa"/>
            <w:vAlign w:val="center"/>
            <w:hideMark/>
          </w:tcPr>
          <w:p w14:paraId="76BA6D88" w14:textId="77777777" w:rsidR="0021163A" w:rsidRPr="0045348D" w:rsidRDefault="0021163A" w:rsidP="00B2019B">
            <w:pPr>
              <w:spacing w:before="40" w:after="40"/>
              <w:rPr>
                <w:rFonts w:ascii="Aptos Narrow" w:eastAsia="MingLiU" w:hAnsi="Aptos Narrow" w:cs="DilleniaUPC"/>
                <w:color w:val="0E2841" w:themeColor="text2"/>
                <w:sz w:val="18"/>
                <w:szCs w:val="18"/>
                <w:lang w:val="en-US"/>
              </w:rPr>
            </w:pPr>
            <w:r w:rsidRPr="0045348D">
              <w:rPr>
                <w:rFonts w:ascii="Aptos Narrow" w:eastAsia="MingLiU" w:hAnsi="Aptos Narrow" w:cs="DilleniaUPC"/>
                <w:color w:val="0E2841" w:themeColor="text2"/>
                <w:sz w:val="18"/>
                <w:szCs w:val="18"/>
                <w:lang w:val="en-US"/>
              </w:rPr>
              <w:t>Moderate departure from normality; conservative family</w:t>
            </w:r>
          </w:p>
        </w:tc>
      </w:tr>
      <w:tr w:rsidR="0021163A" w:rsidRPr="0045348D" w14:paraId="5B64EA89" w14:textId="77777777" w:rsidTr="00B2019B">
        <w:tc>
          <w:tcPr>
            <w:tcW w:w="1696" w:type="dxa"/>
            <w:vAlign w:val="center"/>
            <w:hideMark/>
          </w:tcPr>
          <w:p w14:paraId="18100998" w14:textId="77777777" w:rsidR="0021163A" w:rsidRPr="0045348D" w:rsidRDefault="0021163A" w:rsidP="00B2019B">
            <w:pPr>
              <w:spacing w:before="40" w:after="40"/>
              <w:rPr>
                <w:rFonts w:ascii="Aptos Narrow" w:eastAsia="MingLiU" w:hAnsi="Aptos Narrow" w:cs="DilleniaUPC"/>
                <w:color w:val="0E2841" w:themeColor="text2"/>
                <w:sz w:val="18"/>
                <w:szCs w:val="18"/>
                <w:lang w:val="en-US"/>
              </w:rPr>
            </w:pPr>
            <w:r w:rsidRPr="0045348D">
              <w:rPr>
                <w:rFonts w:ascii="Aptos Narrow" w:eastAsia="MingLiU" w:hAnsi="Aptos Narrow" w:cs="DilleniaUPC"/>
                <w:color w:val="0E2841" w:themeColor="text2"/>
                <w:sz w:val="18"/>
                <w:szCs w:val="18"/>
                <w:lang w:val="en-US"/>
              </w:rPr>
              <w:t>Any sign</w:t>
            </w:r>
          </w:p>
        </w:tc>
        <w:tc>
          <w:tcPr>
            <w:tcW w:w="1276" w:type="dxa"/>
            <w:vAlign w:val="center"/>
            <w:hideMark/>
          </w:tcPr>
          <w:p w14:paraId="3A4CD19A" w14:textId="77777777" w:rsidR="0021163A" w:rsidRPr="0045348D" w:rsidRDefault="0021163A" w:rsidP="00B2019B">
            <w:pPr>
              <w:spacing w:before="40" w:after="40"/>
              <w:rPr>
                <w:rFonts w:ascii="Aptos Narrow" w:eastAsia="MingLiU" w:hAnsi="Aptos Narrow" w:cs="DilleniaUPC"/>
                <w:color w:val="0E2841" w:themeColor="text2"/>
                <w:sz w:val="18"/>
                <w:szCs w:val="18"/>
                <w:lang w:val="en-US"/>
              </w:rPr>
            </w:pPr>
            <w:r w:rsidRPr="0045348D">
              <w:rPr>
                <w:rFonts w:ascii="Aptos Narrow" w:eastAsia="MingLiU" w:hAnsi="Aptos Narrow" w:cs="DilleniaUPC"/>
                <w:color w:val="0E2841" w:themeColor="text2"/>
                <w:sz w:val="18"/>
                <w:szCs w:val="18"/>
                <w:lang w:val="en-US"/>
              </w:rPr>
              <w:t>0</w:t>
            </w:r>
          </w:p>
        </w:tc>
        <w:tc>
          <w:tcPr>
            <w:tcW w:w="1559" w:type="dxa"/>
            <w:vAlign w:val="center"/>
            <w:hideMark/>
          </w:tcPr>
          <w:p w14:paraId="3011E26E" w14:textId="77777777" w:rsidR="0021163A" w:rsidRPr="0045348D" w:rsidRDefault="0021163A" w:rsidP="00B2019B">
            <w:pPr>
              <w:spacing w:before="40" w:after="40"/>
              <w:rPr>
                <w:rFonts w:ascii="Aptos Narrow" w:eastAsia="MingLiU" w:hAnsi="Aptos Narrow" w:cs="DilleniaUPC"/>
                <w:color w:val="0E2841" w:themeColor="text2"/>
                <w:sz w:val="18"/>
                <w:szCs w:val="18"/>
                <w:lang w:val="en-US"/>
              </w:rPr>
            </w:pPr>
            <w:r w:rsidRPr="0045348D">
              <w:rPr>
                <w:rFonts w:ascii="Aptos Narrow" w:eastAsia="MingLiU" w:hAnsi="Aptos Narrow" w:cs="DilleniaUPC"/>
                <w:color w:val="0E2841" w:themeColor="text2"/>
                <w:sz w:val="18"/>
                <w:szCs w:val="18"/>
                <w:lang w:val="en-US"/>
              </w:rPr>
              <w:t>NO + requested transform</w:t>
            </w:r>
          </w:p>
        </w:tc>
        <w:tc>
          <w:tcPr>
            <w:tcW w:w="4819" w:type="dxa"/>
            <w:vAlign w:val="center"/>
            <w:hideMark/>
          </w:tcPr>
          <w:p w14:paraId="39285580" w14:textId="77777777" w:rsidR="0021163A" w:rsidRPr="0045348D" w:rsidRDefault="0021163A" w:rsidP="00B2019B">
            <w:pPr>
              <w:spacing w:before="40" w:after="40"/>
              <w:rPr>
                <w:rFonts w:ascii="Aptos Narrow" w:eastAsia="MingLiU" w:hAnsi="Aptos Narrow" w:cs="DilleniaUPC"/>
                <w:color w:val="0E2841" w:themeColor="text2"/>
                <w:sz w:val="18"/>
                <w:szCs w:val="18"/>
                <w:lang w:val="en-US"/>
              </w:rPr>
            </w:pPr>
            <w:r w:rsidRPr="0045348D">
              <w:rPr>
                <w:rFonts w:ascii="Aptos Narrow" w:eastAsia="MingLiU" w:hAnsi="Aptos Narrow" w:cs="DilleniaUPC"/>
                <w:color w:val="0E2841" w:themeColor="text2"/>
                <w:sz w:val="18"/>
                <w:szCs w:val="18"/>
                <w:lang w:val="en-US"/>
              </w:rPr>
              <w:t>Near-normal distribution; apply log/sqrt pre-transform if specified</w:t>
            </w:r>
          </w:p>
        </w:tc>
      </w:tr>
    </w:tbl>
    <w:p w14:paraId="49867E35" w14:textId="77777777" w:rsidR="0021163A" w:rsidRDefault="0021163A" w:rsidP="0021163A">
      <w:pPr>
        <w:rPr>
          <w:i/>
          <w:iCs/>
          <w:color w:val="0E2841" w:themeColor="text2"/>
          <w:sz w:val="20"/>
          <w:szCs w:val="20"/>
          <w:lang w:val="en-US"/>
        </w:rPr>
      </w:pPr>
      <w:r>
        <w:rPr>
          <w:i/>
          <w:iCs/>
          <w:color w:val="0E2841" w:themeColor="text2"/>
          <w:sz w:val="20"/>
          <w:szCs w:val="20"/>
          <w:lang w:val="en-US"/>
        </w:rPr>
        <w:t>Three diagnostic criteria evaluated on raw (pre-transformation) data: (1) excess kurtosis &gt; 1 (i.e. kurtosis &gt; 4); (2) |skewness| &gt; 0.5; (3) Shapiro–Wilk test p &lt; 0.05 on a subsample of up to 2,000 observations. BCT = Box-Cox t; BCPE = Box-Cox Power Exponential; NO = Normal. Arrows indicate fallback order if the primary family fails to converge. The criterion is evaluated on raw data regardless of any pre-transformation specified in gamlss_meta.csv*, because BCT and BCPE require y &gt; 0, which holds in the original scale for positive indices such as the Arousal Index.*</w:t>
      </w:r>
    </w:p>
    <w:p w14:paraId="2876C4CA" w14:textId="77777777" w:rsidR="001C41D2" w:rsidRPr="0021163A" w:rsidRDefault="001C41D2">
      <w:pPr>
        <w:rPr>
          <w:lang w:val="en-US"/>
        </w:rPr>
      </w:pPr>
    </w:p>
    <w:sectPr w:rsidR="001C41D2" w:rsidRPr="0021163A" w:rsidSect="0021163A">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ptos Narrow">
    <w:charset w:val="00"/>
    <w:family w:val="swiss"/>
    <w:pitch w:val="variable"/>
    <w:sig w:usb0="20000287" w:usb1="00000003" w:usb2="00000000" w:usb3="00000000" w:csb0="0000019F" w:csb1="00000000"/>
  </w:font>
  <w:font w:name="DilleniaUPC">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ngLiU">
    <w:panose1 w:val="02010609000101010101"/>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63A"/>
    <w:rsid w:val="00055B8A"/>
    <w:rsid w:val="001C41D2"/>
    <w:rsid w:val="0021163A"/>
    <w:rsid w:val="00273AC2"/>
    <w:rsid w:val="002B15C6"/>
    <w:rsid w:val="003B014E"/>
    <w:rsid w:val="00701252"/>
    <w:rsid w:val="00A123F3"/>
    <w:rsid w:val="00C25F4B"/>
    <w:rsid w:val="00E930AD"/>
    <w:rsid w:val="00EE2567"/>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88D39"/>
  <w15:chartTrackingRefBased/>
  <w15:docId w15:val="{77FC053D-2AC2-4C91-A036-E4DED101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63A"/>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21163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1163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1163A"/>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1163A"/>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21163A"/>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21163A"/>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21163A"/>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21163A"/>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21163A"/>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6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16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16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16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16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16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16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16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163A"/>
    <w:rPr>
      <w:rFonts w:eastAsiaTheme="majorEastAsia" w:cstheme="majorBidi"/>
      <w:color w:val="272727" w:themeColor="text1" w:themeTint="D8"/>
    </w:rPr>
  </w:style>
  <w:style w:type="paragraph" w:styleId="Title">
    <w:name w:val="Title"/>
    <w:basedOn w:val="Normal"/>
    <w:next w:val="Normal"/>
    <w:link w:val="TitleChar"/>
    <w:uiPriority w:val="10"/>
    <w:qFormat/>
    <w:rsid w:val="0021163A"/>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116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163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116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163A"/>
    <w:pPr>
      <w:spacing w:before="160" w:after="160" w:line="278" w:lineRule="auto"/>
      <w:jc w:val="center"/>
    </w:pPr>
    <w:rPr>
      <w:rFonts w:asciiTheme="minorHAnsi" w:eastAsiaTheme="minorEastAsia"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21163A"/>
    <w:rPr>
      <w:i/>
      <w:iCs/>
      <w:color w:val="404040" w:themeColor="text1" w:themeTint="BF"/>
    </w:rPr>
  </w:style>
  <w:style w:type="paragraph" w:styleId="ListParagraph">
    <w:name w:val="List Paragraph"/>
    <w:basedOn w:val="Normal"/>
    <w:uiPriority w:val="34"/>
    <w:qFormat/>
    <w:rsid w:val="0021163A"/>
    <w:pPr>
      <w:spacing w:after="160" w:line="278" w:lineRule="auto"/>
      <w:ind w:left="720"/>
      <w:contextualSpacing/>
    </w:pPr>
    <w:rPr>
      <w:rFonts w:asciiTheme="minorHAnsi" w:eastAsiaTheme="minorEastAsia" w:hAnsiTheme="minorHAnsi" w:cstheme="minorBidi"/>
      <w:kern w:val="2"/>
      <w14:ligatures w14:val="standardContextual"/>
    </w:rPr>
  </w:style>
  <w:style w:type="character" w:styleId="IntenseEmphasis">
    <w:name w:val="Intense Emphasis"/>
    <w:basedOn w:val="DefaultParagraphFont"/>
    <w:uiPriority w:val="21"/>
    <w:qFormat/>
    <w:rsid w:val="0021163A"/>
    <w:rPr>
      <w:i/>
      <w:iCs/>
      <w:color w:val="0F4761" w:themeColor="accent1" w:themeShade="BF"/>
    </w:rPr>
  </w:style>
  <w:style w:type="paragraph" w:styleId="IntenseQuote">
    <w:name w:val="Intense Quote"/>
    <w:basedOn w:val="Normal"/>
    <w:next w:val="Normal"/>
    <w:link w:val="IntenseQuoteChar"/>
    <w:uiPriority w:val="30"/>
    <w:qFormat/>
    <w:rsid w:val="0021163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21163A"/>
    <w:rPr>
      <w:i/>
      <w:iCs/>
      <w:color w:val="0F4761" w:themeColor="accent1" w:themeShade="BF"/>
    </w:rPr>
  </w:style>
  <w:style w:type="character" w:styleId="IntenseReference">
    <w:name w:val="Intense Reference"/>
    <w:basedOn w:val="DefaultParagraphFont"/>
    <w:uiPriority w:val="32"/>
    <w:qFormat/>
    <w:rsid w:val="0021163A"/>
    <w:rPr>
      <w:b/>
      <w:bCs/>
      <w:smallCaps/>
      <w:color w:val="0F4761" w:themeColor="accent1" w:themeShade="BF"/>
      <w:spacing w:val="5"/>
    </w:rPr>
  </w:style>
  <w:style w:type="paragraph" w:styleId="Caption">
    <w:name w:val="caption"/>
    <w:basedOn w:val="Normal"/>
    <w:next w:val="Normal"/>
    <w:uiPriority w:val="35"/>
    <w:unhideWhenUsed/>
    <w:qFormat/>
    <w:rsid w:val="0021163A"/>
    <w:pPr>
      <w:spacing w:after="200"/>
    </w:pPr>
    <w:rPr>
      <w:i/>
      <w:iCs/>
      <w:color w:val="0E2841" w:themeColor="text2"/>
      <w:sz w:val="18"/>
      <w:szCs w:val="18"/>
    </w:rPr>
  </w:style>
  <w:style w:type="table" w:styleId="TableGrid">
    <w:name w:val="Table Grid"/>
    <w:basedOn w:val="TableNormal"/>
    <w:uiPriority w:val="39"/>
    <w:rsid w:val="0021163A"/>
    <w:pPr>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tiff"/><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5" Type="http://schemas.openxmlformats.org/officeDocument/2006/relationships/theme" Target="theme/theme1.xml"/><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2163</Words>
  <Characters>11898</Characters>
  <Application>Microsoft Office Word</Application>
  <DocSecurity>0</DocSecurity>
  <Lines>99</Lines>
  <Paragraphs>28</Paragraphs>
  <ScaleCrop>false</ScaleCrop>
  <Company/>
  <LinksUpToDate>false</LinksUpToDate>
  <CharactersWithSpaces>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Bosch</dc:creator>
  <cp:keywords/>
  <dc:description/>
  <cp:lastModifiedBy>Jorge Bosch</cp:lastModifiedBy>
  <cp:revision>1</cp:revision>
  <dcterms:created xsi:type="dcterms:W3CDTF">2026-04-06T09:59:00Z</dcterms:created>
  <dcterms:modified xsi:type="dcterms:W3CDTF">2026-04-06T10:01:00Z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0fffc23d-ca02-4fc6-bc14-966dea176ee0</vt:lpwstr>
  </property>
</Properties>
</file>