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D44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649855"/>
            <wp:effectExtent l="0" t="0" r="3810" b="4445"/>
            <wp:docPr id="2" name="图片 2" descr="Fi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34D42">
      <w:pP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>Schematic model of MX28-mediated suppression of alfalfa leaf blight.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 xml:space="preserve">In susceptible alfalfa, </w:t>
      </w:r>
      <w:r>
        <w:rPr>
          <w:rFonts w:hint="default" w:ascii="Times New Roman" w:hAnsi="Times New Roman" w:cs="Times New Roman" w:eastAsiaTheme="minorEastAsia"/>
          <w:i/>
          <w:iCs/>
          <w:sz w:val="28"/>
          <w:szCs w:val="28"/>
          <w:lang w:eastAsia="zh-CN"/>
        </w:rPr>
        <w:t>Fusarium citri</w:t>
      </w: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 xml:space="preserve"> infection leads to fungal colonization, macroconidia accumulation, severe cellular disruption, and tissue necrosis. Treatment with </w:t>
      </w:r>
      <w:r>
        <w:rPr>
          <w:rFonts w:hint="default" w:ascii="Times New Roman" w:hAnsi="Times New Roman" w:cs="Times New Roman" w:eastAsiaTheme="minorEastAsia"/>
          <w:i/>
          <w:iCs/>
          <w:sz w:val="28"/>
          <w:szCs w:val="28"/>
          <w:lang w:eastAsia="zh-CN"/>
        </w:rPr>
        <w:t>Pantoea agglomerans</w:t>
      </w: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 xml:space="preserve"> MX28 suppresses disease through three coordinated mechanisms: maculosin-associated hyphal fracture and lysis, TonB siderophore-mediated iron competition, and induction of plant defense responses, including </w:t>
      </w:r>
      <w:r>
        <w:rPr>
          <w:rFonts w:hint="default" w:ascii="Times New Roman" w:hAnsi="Times New Roman" w:cs="Times New Roman" w:eastAsiaTheme="minorEastAsia"/>
          <w:i/>
          <w:iCs/>
          <w:sz w:val="28"/>
          <w:szCs w:val="28"/>
          <w:lang w:eastAsia="zh-CN"/>
        </w:rPr>
        <w:t>PAL</w:t>
      </w: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i/>
          <w:iCs/>
          <w:sz w:val="28"/>
          <w:szCs w:val="28"/>
          <w:lang w:eastAsia="zh-CN"/>
        </w:rPr>
        <w:t>PR1</w:t>
      </w: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i/>
          <w:iCs/>
          <w:sz w:val="28"/>
          <w:szCs w:val="28"/>
          <w:lang w:eastAsia="zh-CN"/>
        </w:rPr>
        <w:t>PR4</w:t>
      </w:r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 xml:space="preserve">, and </w:t>
      </w:r>
      <w:bookmarkStart w:id="0" w:name="_GoBack"/>
      <w:r>
        <w:rPr>
          <w:rFonts w:hint="default" w:ascii="Times New Roman" w:hAnsi="Times New Roman" w:cs="Times New Roman" w:eastAsiaTheme="minorEastAsia"/>
          <w:i/>
          <w:iCs/>
          <w:sz w:val="28"/>
          <w:szCs w:val="28"/>
          <w:lang w:eastAsia="zh-CN"/>
        </w:rPr>
        <w:t>WRKY33</w:t>
      </w:r>
      <w:bookmarkEnd w:id="0"/>
      <w:r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  <w:t>. Together, these processes restrict fungal growth and alleviate host tissue damage.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377F8"/>
    <w:rsid w:val="28941E19"/>
    <w:rsid w:val="3D4303C8"/>
  </w:rsids>
  <m:mathPr>
    <m:mathFont m:val="DejaVu Math TeX Gyre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2025-06-04T02:23:00Z</dcterms:created>
  <dc:creator>17645</dc:creator>
  <cp:lastModifiedBy>穆穆</cp:lastModifiedBy>
  <dcterms:modified xsi:type="dcterms:W3CDTF">2026-04-04T12:46:58Z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88FAC7F983B542AF89DECCA79D76CD87_12</vt:lpwstr>
  </property>
  <property fmtid="{D5CDD505-2E9C-101B-9397-08002B2CF9AE}" pid="4" name="KSOTemplateDocerSaveRecord">
    <vt:lpwstr>eyJoZGlkIjoiY2RkMjgwZmY0YzhiYjhlMjM1ZmQ0ODdiMTRkZTU5MTMiLCJ1c2VySWQiOiIyMzczMDI3MDgifQ==</vt:lpwstr>
  </property>
</Properties>
</file>