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1E0D" w:rsidRDefault="000F1E0D" w:rsidP="00A74970">
      <w:pPr>
        <w:pStyle w:val="Descripcin"/>
        <w:jc w:val="center"/>
        <w:rPr>
          <w:lang w:val="en-GB"/>
        </w:rPr>
      </w:pPr>
      <w:r w:rsidRPr="00BA5094">
        <w:rPr>
          <w:rFonts w:ascii="Times New Roman" w:hAnsi="Times New Roman" w:cs="Times New Roman"/>
          <w:lang w:val="en-GB"/>
        </w:rPr>
        <w:t>Baseline characteristics for the sample by pharmacy group</w:t>
      </w:r>
    </w:p>
    <w:tbl>
      <w:tblPr>
        <w:tblStyle w:val="Tablaconcuadrcula"/>
        <w:tblW w:w="8081" w:type="dxa"/>
        <w:jc w:val="center"/>
        <w:tblLayout w:type="fixed"/>
        <w:tblLook w:val="0000" w:firstRow="0" w:lastRow="0" w:firstColumn="0" w:lastColumn="0" w:noHBand="0" w:noVBand="0"/>
      </w:tblPr>
      <w:tblGrid>
        <w:gridCol w:w="1414"/>
        <w:gridCol w:w="2125"/>
        <w:gridCol w:w="1274"/>
        <w:gridCol w:w="1135"/>
        <w:gridCol w:w="1138"/>
        <w:gridCol w:w="995"/>
      </w:tblGrid>
      <w:tr w:rsidR="000F1E0D" w:rsidRPr="00C533F8" w:rsidTr="00D4293E">
        <w:trPr>
          <w:trHeight w:val="383"/>
          <w:jc w:val="center"/>
        </w:trPr>
        <w:tc>
          <w:tcPr>
            <w:tcW w:w="3539" w:type="dxa"/>
            <w:gridSpan w:val="2"/>
            <w:tcBorders>
              <w:top w:val="nil"/>
              <w:left w:val="nil"/>
            </w:tcBorders>
            <w:shd w:val="clear" w:color="auto" w:fill="auto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274" w:type="dxa"/>
            <w:shd w:val="clear" w:color="auto" w:fill="auto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MAS CP* (n=323)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UC CP* (n=485)</w:t>
            </w:r>
          </w:p>
        </w:tc>
        <w:tc>
          <w:tcPr>
            <w:tcW w:w="1138" w:type="dxa"/>
            <w:shd w:val="clear" w:color="auto" w:fill="auto"/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Total</w:t>
            </w:r>
          </w:p>
        </w:tc>
        <w:tc>
          <w:tcPr>
            <w:tcW w:w="995" w:type="dxa"/>
            <w:shd w:val="clear" w:color="auto" w:fill="auto"/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p-value</w:t>
            </w:r>
          </w:p>
        </w:tc>
      </w:tr>
      <w:tr w:rsidR="000F1E0D" w:rsidRPr="00C533F8" w:rsidTr="00D4293E">
        <w:trPr>
          <w:trHeight w:val="117"/>
          <w:jc w:val="center"/>
        </w:trPr>
        <w:tc>
          <w:tcPr>
            <w:tcW w:w="1414" w:type="dxa"/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Gender</w:t>
            </w:r>
          </w:p>
        </w:tc>
        <w:tc>
          <w:tcPr>
            <w:tcW w:w="2125" w:type="dxa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Male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274" w:type="dxa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125 (38.7%)</w:t>
            </w:r>
          </w:p>
          <w:p w:rsidR="000F1E0D" w:rsidRPr="00C533F8" w:rsidDel="003A41AD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198 (61.3%)</w:t>
            </w:r>
          </w:p>
        </w:tc>
        <w:tc>
          <w:tcPr>
            <w:tcW w:w="1135" w:type="dxa"/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173 (35.7%)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312 (64.3%)</w:t>
            </w:r>
          </w:p>
        </w:tc>
        <w:tc>
          <w:tcPr>
            <w:tcW w:w="1138" w:type="dxa"/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298 (36.9%)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510 (63.1%)</w:t>
            </w:r>
          </w:p>
        </w:tc>
        <w:tc>
          <w:tcPr>
            <w:tcW w:w="995" w:type="dxa"/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en-GB"/>
              </w:rPr>
            </w:pP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0.382</w:t>
            </w:r>
          </w:p>
        </w:tc>
      </w:tr>
      <w:tr w:rsidR="000F1E0D" w:rsidRPr="00C533F8" w:rsidTr="00D4293E">
        <w:trPr>
          <w:trHeight w:val="569"/>
          <w:jc w:val="center"/>
        </w:trPr>
        <w:tc>
          <w:tcPr>
            <w:tcW w:w="1414" w:type="dxa"/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Education</w:t>
            </w:r>
            <w:r w:rsidRPr="00C533F8">
              <w:rPr>
                <w:rFonts w:ascii="Times New Roman" w:hAnsi="Times New Roman" w:cs="Times New Roman"/>
                <w:iCs/>
                <w:sz w:val="18"/>
                <w:szCs w:val="18"/>
                <w:vertAlign w:val="superscript"/>
                <w:lang w:val="en-GB"/>
              </w:rPr>
              <w:t>†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</w:p>
        </w:tc>
        <w:tc>
          <w:tcPr>
            <w:tcW w:w="2125" w:type="dxa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None/Primary/Not know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Secondary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Superior</w:t>
            </w:r>
          </w:p>
        </w:tc>
        <w:tc>
          <w:tcPr>
            <w:tcW w:w="1274" w:type="dxa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102 (46.2%)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73 (33.0%)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46 (20.8%)</w:t>
            </w:r>
          </w:p>
        </w:tc>
        <w:tc>
          <w:tcPr>
            <w:tcW w:w="1135" w:type="dxa"/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140 (49.3%)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84 (29.6%)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60 (21.1%)</w:t>
            </w:r>
          </w:p>
        </w:tc>
        <w:tc>
          <w:tcPr>
            <w:tcW w:w="1138" w:type="dxa"/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242 (47.9%)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157 (31.2%)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106 (20.9%)</w:t>
            </w:r>
          </w:p>
        </w:tc>
        <w:tc>
          <w:tcPr>
            <w:tcW w:w="995" w:type="dxa"/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en-GB"/>
              </w:rPr>
            </w:pP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en-GB"/>
              </w:rPr>
            </w:pP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0.691</w:t>
            </w:r>
          </w:p>
        </w:tc>
      </w:tr>
      <w:tr w:rsidR="000F1E0D" w:rsidRPr="00C533F8" w:rsidTr="00D4293E">
        <w:trPr>
          <w:trHeight w:val="569"/>
          <w:jc w:val="center"/>
        </w:trPr>
        <w:tc>
          <w:tcPr>
            <w:tcW w:w="1414" w:type="dxa"/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Employment</w:t>
            </w:r>
            <w:r w:rsidRPr="00C533F8">
              <w:rPr>
                <w:rFonts w:ascii="Times New Roman" w:hAnsi="Times New Roman" w:cs="Times New Roman"/>
                <w:iCs/>
                <w:sz w:val="18"/>
                <w:szCs w:val="18"/>
                <w:vertAlign w:val="superscript"/>
                <w:lang w:val="en-GB"/>
              </w:rPr>
              <w:t>†</w:t>
            </w:r>
          </w:p>
        </w:tc>
        <w:tc>
          <w:tcPr>
            <w:tcW w:w="2125" w:type="dxa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Employed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Unemployed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Retired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Student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Other</w:t>
            </w:r>
          </w:p>
        </w:tc>
        <w:tc>
          <w:tcPr>
            <w:tcW w:w="1274" w:type="dxa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112 (49.3%)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29 (12.8%)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48 (21.1%)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 (4.0%)</w:t>
            </w:r>
          </w:p>
          <w:p w:rsidR="000F1E0D" w:rsidRPr="00C533F8" w:rsidDel="003F36F9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29 (12.8%)</w:t>
            </w:r>
          </w:p>
        </w:tc>
        <w:tc>
          <w:tcPr>
            <w:tcW w:w="1135" w:type="dxa"/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172 (59.3%)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21 (7.2%)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46 (15.9%)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14 (4.8%)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37 (12.8%)</w:t>
            </w:r>
          </w:p>
        </w:tc>
        <w:tc>
          <w:tcPr>
            <w:tcW w:w="1138" w:type="dxa"/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284 (54.9%)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50 (9.8%)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94 (18.2%)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23 (4.4%)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66 (12.7%)</w:t>
            </w:r>
          </w:p>
        </w:tc>
        <w:tc>
          <w:tcPr>
            <w:tcW w:w="995" w:type="dxa"/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en-GB"/>
              </w:rPr>
            </w:pP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en-GB"/>
              </w:rPr>
            </w:pP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en-GB"/>
              </w:rPr>
            </w:pP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en-GB"/>
              </w:rPr>
            </w:pP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0.124</w:t>
            </w:r>
          </w:p>
        </w:tc>
      </w:tr>
      <w:tr w:rsidR="000F1E0D" w:rsidRPr="00C533F8" w:rsidTr="00D4293E">
        <w:trPr>
          <w:trHeight w:val="126"/>
          <w:jc w:val="center"/>
        </w:trPr>
        <w:tc>
          <w:tcPr>
            <w:tcW w:w="1414" w:type="dxa"/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Health insurance</w:t>
            </w:r>
            <w:r w:rsidRPr="00C533F8">
              <w:rPr>
                <w:rFonts w:ascii="Times New Roman" w:hAnsi="Times New Roman" w:cs="Times New Roman"/>
                <w:iCs/>
                <w:sz w:val="18"/>
                <w:szCs w:val="18"/>
                <w:vertAlign w:val="superscript"/>
                <w:lang w:val="en-GB"/>
              </w:rPr>
              <w:t>†</w:t>
            </w:r>
          </w:p>
        </w:tc>
        <w:tc>
          <w:tcPr>
            <w:tcW w:w="2125" w:type="dxa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Public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Private/Both/Not known</w:t>
            </w:r>
          </w:p>
        </w:tc>
        <w:tc>
          <w:tcPr>
            <w:tcW w:w="1274" w:type="dxa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200 (87.3%)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29 (12.7%)</w:t>
            </w:r>
          </w:p>
        </w:tc>
        <w:tc>
          <w:tcPr>
            <w:tcW w:w="1135" w:type="dxa"/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253 (87.5%)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36 (12.5%)</w:t>
            </w:r>
          </w:p>
        </w:tc>
        <w:tc>
          <w:tcPr>
            <w:tcW w:w="1138" w:type="dxa"/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453 (87.4%)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65 (12.6%)</w:t>
            </w:r>
          </w:p>
        </w:tc>
        <w:tc>
          <w:tcPr>
            <w:tcW w:w="995" w:type="dxa"/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en-GB"/>
              </w:rPr>
            </w:pP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0.944</w:t>
            </w:r>
          </w:p>
        </w:tc>
      </w:tr>
      <w:tr w:rsidR="000F1E0D" w:rsidRPr="00C533F8" w:rsidTr="00D4293E">
        <w:trPr>
          <w:trHeight w:val="126"/>
          <w:jc w:val="center"/>
        </w:trPr>
        <w:tc>
          <w:tcPr>
            <w:tcW w:w="1414" w:type="dxa"/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Consultation type</w:t>
            </w:r>
          </w:p>
        </w:tc>
        <w:tc>
          <w:tcPr>
            <w:tcW w:w="2125" w:type="dxa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Symptom presentation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Direct product request</w:t>
            </w:r>
          </w:p>
        </w:tc>
        <w:tc>
          <w:tcPr>
            <w:tcW w:w="1274" w:type="dxa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235 (72.8%)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88 (27.2%)</w:t>
            </w:r>
          </w:p>
        </w:tc>
        <w:tc>
          <w:tcPr>
            <w:tcW w:w="1135" w:type="dxa"/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329 (67.8%)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156 (32.2%)</w:t>
            </w:r>
          </w:p>
        </w:tc>
        <w:tc>
          <w:tcPr>
            <w:tcW w:w="1138" w:type="dxa"/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564 (69.8%)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244 (30.2%)</w:t>
            </w:r>
          </w:p>
        </w:tc>
        <w:tc>
          <w:tcPr>
            <w:tcW w:w="995" w:type="dxa"/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0.136</w:t>
            </w:r>
          </w:p>
        </w:tc>
      </w:tr>
      <w:tr w:rsidR="000F1E0D" w:rsidRPr="00C533F8" w:rsidTr="00D4293E">
        <w:trPr>
          <w:trHeight w:val="1002"/>
          <w:jc w:val="center"/>
        </w:trPr>
        <w:tc>
          <w:tcPr>
            <w:tcW w:w="1414" w:type="dxa"/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Minor ailment</w:t>
            </w:r>
          </w:p>
        </w:tc>
        <w:tc>
          <w:tcPr>
            <w:tcW w:w="2125" w:type="dxa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Upper respiratory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Pain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Digestive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Dermatological</w:t>
            </w:r>
          </w:p>
        </w:tc>
        <w:tc>
          <w:tcPr>
            <w:tcW w:w="1274" w:type="dxa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220 (68.2 %)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65 (20.1%)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24 (7.4%)</w:t>
            </w:r>
          </w:p>
          <w:p w:rsidR="000F1E0D" w:rsidRPr="00C533F8" w:rsidDel="003A41AD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14 (4.3%)</w:t>
            </w:r>
          </w:p>
        </w:tc>
        <w:tc>
          <w:tcPr>
            <w:tcW w:w="1135" w:type="dxa"/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309 (63.7%)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96 (19.8%)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52 (10.7%)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28 (5.8%)</w:t>
            </w:r>
          </w:p>
        </w:tc>
        <w:tc>
          <w:tcPr>
            <w:tcW w:w="1138" w:type="dxa"/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529 (65.5%)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161 (19.9%)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76 (9.4%)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42 (5.2%)</w:t>
            </w:r>
          </w:p>
        </w:tc>
        <w:tc>
          <w:tcPr>
            <w:tcW w:w="995" w:type="dxa"/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0.309</w:t>
            </w:r>
          </w:p>
        </w:tc>
      </w:tr>
      <w:tr w:rsidR="000F1E0D" w:rsidRPr="00C533F8" w:rsidTr="00D4293E">
        <w:trPr>
          <w:trHeight w:val="61"/>
          <w:jc w:val="center"/>
        </w:trPr>
        <w:tc>
          <w:tcPr>
            <w:tcW w:w="1414" w:type="dxa"/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 xml:space="preserve">First time symptoms </w:t>
            </w:r>
          </w:p>
        </w:tc>
        <w:tc>
          <w:tcPr>
            <w:tcW w:w="2125" w:type="dxa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Yes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No</w:t>
            </w:r>
          </w:p>
        </w:tc>
        <w:tc>
          <w:tcPr>
            <w:tcW w:w="1274" w:type="dxa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26 (8.0%)</w:t>
            </w:r>
          </w:p>
          <w:p w:rsidR="000F1E0D" w:rsidRPr="00C533F8" w:rsidDel="003A41AD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297 (92.0%)</w:t>
            </w:r>
          </w:p>
        </w:tc>
        <w:tc>
          <w:tcPr>
            <w:tcW w:w="1135" w:type="dxa"/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42 (8.7%)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443 (91.3%)</w:t>
            </w:r>
          </w:p>
        </w:tc>
        <w:tc>
          <w:tcPr>
            <w:tcW w:w="1138" w:type="dxa"/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68 (8.4%)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740 (91.6%)</w:t>
            </w:r>
          </w:p>
        </w:tc>
        <w:tc>
          <w:tcPr>
            <w:tcW w:w="995" w:type="dxa"/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0.417</w:t>
            </w:r>
          </w:p>
        </w:tc>
      </w:tr>
      <w:tr w:rsidR="000F1E0D" w:rsidRPr="00C533F8" w:rsidTr="00D4293E">
        <w:trPr>
          <w:trHeight w:val="126"/>
          <w:jc w:val="center"/>
        </w:trPr>
        <w:tc>
          <w:tcPr>
            <w:tcW w:w="1414" w:type="dxa"/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Symptom already treated</w:t>
            </w:r>
          </w:p>
        </w:tc>
        <w:tc>
          <w:tcPr>
            <w:tcW w:w="2125" w:type="dxa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Yes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No</w:t>
            </w:r>
          </w:p>
        </w:tc>
        <w:tc>
          <w:tcPr>
            <w:tcW w:w="1274" w:type="dxa"/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61 (18.9%)</w:t>
            </w:r>
          </w:p>
          <w:p w:rsidR="000F1E0D" w:rsidRPr="00C533F8" w:rsidDel="003F36F9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262 (81.1%)</w:t>
            </w:r>
          </w:p>
        </w:tc>
        <w:tc>
          <w:tcPr>
            <w:tcW w:w="1135" w:type="dxa"/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110 (22.7%)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375 (77.3%)</w:t>
            </w:r>
          </w:p>
        </w:tc>
        <w:tc>
          <w:tcPr>
            <w:tcW w:w="1138" w:type="dxa"/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171 (21.2%)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637 (78.8%)</w:t>
            </w:r>
          </w:p>
        </w:tc>
        <w:tc>
          <w:tcPr>
            <w:tcW w:w="995" w:type="dxa"/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0.196</w:t>
            </w:r>
          </w:p>
        </w:tc>
      </w:tr>
      <w:tr w:rsidR="000F1E0D" w:rsidRPr="00C533F8" w:rsidTr="00D4293E">
        <w:trPr>
          <w:trHeight w:val="454"/>
          <w:jc w:val="center"/>
        </w:trPr>
        <w:tc>
          <w:tcPr>
            <w:tcW w:w="1414" w:type="dxa"/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Other health problem/s</w:t>
            </w:r>
          </w:p>
        </w:tc>
        <w:tc>
          <w:tcPr>
            <w:tcW w:w="2125" w:type="dxa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Yes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No</w:t>
            </w:r>
          </w:p>
        </w:tc>
        <w:tc>
          <w:tcPr>
            <w:tcW w:w="1274" w:type="dxa"/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148 (45.8%)</w:t>
            </w:r>
          </w:p>
          <w:p w:rsidR="000F1E0D" w:rsidRPr="00C533F8" w:rsidDel="003F36F9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175 (54.2%)</w:t>
            </w:r>
          </w:p>
        </w:tc>
        <w:tc>
          <w:tcPr>
            <w:tcW w:w="1135" w:type="dxa"/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222 (45.8%)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263 (54.2%)</w:t>
            </w:r>
          </w:p>
        </w:tc>
        <w:tc>
          <w:tcPr>
            <w:tcW w:w="1138" w:type="dxa"/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370 (45.8%)</w:t>
            </w: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438 (54.2%)</w:t>
            </w:r>
          </w:p>
        </w:tc>
        <w:tc>
          <w:tcPr>
            <w:tcW w:w="995" w:type="dxa"/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0.989</w:t>
            </w:r>
          </w:p>
        </w:tc>
      </w:tr>
      <w:tr w:rsidR="000F1E0D" w:rsidRPr="00C533F8" w:rsidTr="00D4293E">
        <w:trPr>
          <w:trHeight w:val="56"/>
          <w:jc w:val="center"/>
        </w:trPr>
        <w:tc>
          <w:tcPr>
            <w:tcW w:w="3539" w:type="dxa"/>
            <w:gridSpan w:val="2"/>
            <w:shd w:val="clear" w:color="auto" w:fill="auto"/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3547" w:type="dxa"/>
            <w:gridSpan w:val="3"/>
            <w:shd w:val="clear" w:color="auto" w:fill="auto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Average (SD)</w:t>
            </w:r>
          </w:p>
        </w:tc>
        <w:tc>
          <w:tcPr>
            <w:tcW w:w="995" w:type="dxa"/>
            <w:shd w:val="clear" w:color="auto" w:fill="auto"/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p-value</w:t>
            </w:r>
          </w:p>
        </w:tc>
      </w:tr>
      <w:tr w:rsidR="000F1E0D" w:rsidRPr="00C533F8" w:rsidTr="00D4293E">
        <w:trPr>
          <w:trHeight w:val="156"/>
          <w:jc w:val="center"/>
        </w:trPr>
        <w:tc>
          <w:tcPr>
            <w:tcW w:w="3539" w:type="dxa"/>
            <w:gridSpan w:val="2"/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 xml:space="preserve">Age (years) </w:t>
            </w:r>
          </w:p>
        </w:tc>
        <w:tc>
          <w:tcPr>
            <w:tcW w:w="1274" w:type="dxa"/>
          </w:tcPr>
          <w:p w:rsidR="000F1E0D" w:rsidRPr="00C533F8" w:rsidDel="003F36F9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48.1 (15.8)</w:t>
            </w:r>
          </w:p>
        </w:tc>
        <w:tc>
          <w:tcPr>
            <w:tcW w:w="1135" w:type="dxa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47.3 (17.1)</w:t>
            </w:r>
          </w:p>
        </w:tc>
        <w:tc>
          <w:tcPr>
            <w:tcW w:w="1138" w:type="dxa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47.6 (16.6)</w:t>
            </w:r>
          </w:p>
        </w:tc>
        <w:tc>
          <w:tcPr>
            <w:tcW w:w="995" w:type="dxa"/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0.552</w:t>
            </w:r>
          </w:p>
        </w:tc>
      </w:tr>
      <w:tr w:rsidR="000F1E0D" w:rsidRPr="00C533F8" w:rsidTr="00D4293E">
        <w:trPr>
          <w:trHeight w:val="136"/>
          <w:jc w:val="center"/>
        </w:trPr>
        <w:tc>
          <w:tcPr>
            <w:tcW w:w="3539" w:type="dxa"/>
            <w:gridSpan w:val="2"/>
            <w:tcBorders>
              <w:bottom w:val="single" w:sz="4" w:space="0" w:color="auto"/>
            </w:tcBorders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Baseline EQ-VAS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68.2 (19.0)</w:t>
            </w:r>
          </w:p>
        </w:tc>
        <w:tc>
          <w:tcPr>
            <w:tcW w:w="1135" w:type="dxa"/>
            <w:tcBorders>
              <w:bottom w:val="single" w:sz="4" w:space="0" w:color="auto"/>
            </w:tcBorders>
          </w:tcPr>
          <w:p w:rsidR="000F1E0D" w:rsidRPr="00C533F8" w:rsidDel="003F36F9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71.3 (19.6)</w:t>
            </w:r>
          </w:p>
        </w:tc>
        <w:tc>
          <w:tcPr>
            <w:tcW w:w="1138" w:type="dxa"/>
            <w:tcBorders>
              <w:bottom w:val="single" w:sz="4" w:space="0" w:color="auto"/>
            </w:tcBorders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70.1 (19.4)</w:t>
            </w:r>
          </w:p>
        </w:tc>
        <w:tc>
          <w:tcPr>
            <w:tcW w:w="995" w:type="dxa"/>
            <w:tcBorders>
              <w:bottom w:val="single" w:sz="4" w:space="0" w:color="auto"/>
            </w:tcBorders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0.005</w:t>
            </w:r>
            <w:r w:rsidRPr="00C533F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‡</w:t>
            </w:r>
          </w:p>
        </w:tc>
      </w:tr>
      <w:tr w:rsidR="000F1E0D" w:rsidRPr="00C533F8" w:rsidTr="00D4293E">
        <w:trPr>
          <w:trHeight w:val="136"/>
          <w:jc w:val="center"/>
        </w:trPr>
        <w:tc>
          <w:tcPr>
            <w:tcW w:w="3539" w:type="dxa"/>
            <w:gridSpan w:val="2"/>
            <w:tcBorders>
              <w:bottom w:val="single" w:sz="4" w:space="0" w:color="auto"/>
            </w:tcBorders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 xml:space="preserve">Baseline utility </w:t>
            </w:r>
          </w:p>
        </w:tc>
        <w:tc>
          <w:tcPr>
            <w:tcW w:w="1274" w:type="dxa"/>
            <w:tcBorders>
              <w:bottom w:val="single" w:sz="4" w:space="0" w:color="auto"/>
            </w:tcBorders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0.87 (0.12)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0.89 (0.14)</w:t>
            </w:r>
          </w:p>
        </w:tc>
        <w:tc>
          <w:tcPr>
            <w:tcW w:w="1138" w:type="dxa"/>
            <w:tcBorders>
              <w:bottom w:val="single" w:sz="4" w:space="0" w:color="auto"/>
            </w:tcBorders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0.88 (0.13)</w:t>
            </w:r>
          </w:p>
        </w:tc>
        <w:tc>
          <w:tcPr>
            <w:tcW w:w="995" w:type="dxa"/>
            <w:tcBorders>
              <w:bottom w:val="single" w:sz="4" w:space="0" w:color="auto"/>
            </w:tcBorders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&lt;0.001</w:t>
            </w:r>
            <w:r w:rsidRPr="00C533F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‡</w:t>
            </w:r>
          </w:p>
        </w:tc>
      </w:tr>
      <w:tr w:rsidR="000F1E0D" w:rsidRPr="00C533F8" w:rsidTr="00D4293E">
        <w:trPr>
          <w:trHeight w:val="136"/>
          <w:jc w:val="center"/>
        </w:trPr>
        <w:tc>
          <w:tcPr>
            <w:tcW w:w="3539" w:type="dxa"/>
            <w:gridSpan w:val="2"/>
            <w:tcBorders>
              <w:top w:val="single" w:sz="4" w:space="0" w:color="auto"/>
            </w:tcBorders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Symptom duration (days)</w:t>
            </w:r>
          </w:p>
        </w:tc>
        <w:tc>
          <w:tcPr>
            <w:tcW w:w="1274" w:type="dxa"/>
            <w:tcBorders>
              <w:top w:val="single" w:sz="4" w:space="0" w:color="auto"/>
            </w:tcBorders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3.6 (3.7) </w:t>
            </w:r>
          </w:p>
        </w:tc>
        <w:tc>
          <w:tcPr>
            <w:tcW w:w="1135" w:type="dxa"/>
            <w:tcBorders>
              <w:top w:val="single" w:sz="4" w:space="0" w:color="auto"/>
            </w:tcBorders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3.9 (4.4)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3.8 (4.1)</w:t>
            </w:r>
          </w:p>
        </w:tc>
        <w:tc>
          <w:tcPr>
            <w:tcW w:w="995" w:type="dxa"/>
            <w:tcBorders>
              <w:top w:val="single" w:sz="4" w:space="0" w:color="auto"/>
            </w:tcBorders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0.263</w:t>
            </w:r>
          </w:p>
        </w:tc>
      </w:tr>
      <w:tr w:rsidR="000F1E0D" w:rsidRPr="00C533F8" w:rsidTr="00D4293E">
        <w:trPr>
          <w:trHeight w:val="136"/>
          <w:jc w:val="center"/>
        </w:trPr>
        <w:tc>
          <w:tcPr>
            <w:tcW w:w="3539" w:type="dxa"/>
            <w:gridSpan w:val="2"/>
            <w:tcBorders>
              <w:top w:val="single" w:sz="4" w:space="0" w:color="auto"/>
            </w:tcBorders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Nº medicines to treat other health problems</w:t>
            </w:r>
          </w:p>
        </w:tc>
        <w:tc>
          <w:tcPr>
            <w:tcW w:w="1274" w:type="dxa"/>
            <w:tcBorders>
              <w:top w:val="single" w:sz="4" w:space="0" w:color="auto"/>
            </w:tcBorders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1.2 (1.9)</w:t>
            </w:r>
          </w:p>
        </w:tc>
        <w:tc>
          <w:tcPr>
            <w:tcW w:w="1135" w:type="dxa"/>
            <w:tcBorders>
              <w:top w:val="single" w:sz="4" w:space="0" w:color="auto"/>
            </w:tcBorders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1.3 (1.9)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1.2 (1.9)</w:t>
            </w:r>
          </w:p>
        </w:tc>
        <w:tc>
          <w:tcPr>
            <w:tcW w:w="995" w:type="dxa"/>
            <w:tcBorders>
              <w:top w:val="single" w:sz="4" w:space="0" w:color="auto"/>
            </w:tcBorders>
            <w:vAlign w:val="center"/>
          </w:tcPr>
          <w:p w:rsidR="000F1E0D" w:rsidRPr="00C533F8" w:rsidRDefault="000F1E0D" w:rsidP="00D4293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C533F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0.798</w:t>
            </w:r>
            <w:r w:rsidRPr="00C533F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‡</w:t>
            </w:r>
          </w:p>
        </w:tc>
      </w:tr>
    </w:tbl>
    <w:p w:rsidR="000F1E0D" w:rsidRPr="00C533F8" w:rsidRDefault="000F1E0D" w:rsidP="000F1E0D">
      <w:pPr>
        <w:spacing w:after="0" w:line="240" w:lineRule="auto"/>
        <w:rPr>
          <w:rFonts w:ascii="Times New Roman" w:hAnsi="Times New Roman" w:cs="Times New Roman"/>
          <w:sz w:val="18"/>
          <w:szCs w:val="18"/>
          <w:lang w:val="en-US"/>
        </w:rPr>
      </w:pPr>
      <w:r w:rsidRPr="00C533F8">
        <w:rPr>
          <w:rFonts w:ascii="Times New Roman" w:hAnsi="Times New Roman" w:cs="Times New Roman"/>
          <w:sz w:val="18"/>
          <w:szCs w:val="18"/>
          <w:lang w:val="en-US"/>
        </w:rPr>
        <w:t>* MAS CP: Minor Ailment Service Community Pharmacies; UC CP: Usual Care Community Pharmacies; SD: Standard deviation</w:t>
      </w:r>
    </w:p>
    <w:p w:rsidR="000F1E0D" w:rsidRPr="00C533F8" w:rsidRDefault="000F1E0D" w:rsidP="000F1E0D">
      <w:pPr>
        <w:spacing w:after="0" w:line="240" w:lineRule="auto"/>
        <w:rPr>
          <w:rFonts w:ascii="Times New Roman" w:hAnsi="Times New Roman" w:cs="Times New Roman"/>
          <w:sz w:val="18"/>
          <w:szCs w:val="18"/>
          <w:lang w:val="en-US"/>
        </w:rPr>
      </w:pPr>
      <w:r w:rsidRPr="00C533F8">
        <w:rPr>
          <w:rFonts w:ascii="Times New Roman" w:hAnsi="Times New Roman" w:cs="Times New Roman"/>
          <w:iCs/>
          <w:sz w:val="18"/>
          <w:szCs w:val="18"/>
          <w:lang w:val="en-GB"/>
        </w:rPr>
        <w:t>†</w:t>
      </w:r>
      <w:r w:rsidRPr="00C533F8">
        <w:rPr>
          <w:rFonts w:ascii="Times New Roman" w:hAnsi="Times New Roman" w:cs="Times New Roman"/>
          <w:sz w:val="18"/>
          <w:szCs w:val="18"/>
          <w:lang w:val="en-US"/>
        </w:rPr>
        <w:t xml:space="preserve"> Data recorded 10 days after consultation by phone, 291 patients answered in CP control group (60.0%) and 229 in CP intervention</w:t>
      </w:r>
      <w:bookmarkStart w:id="0" w:name="_GoBack"/>
      <w:bookmarkEnd w:id="0"/>
      <w:r w:rsidRPr="00C533F8">
        <w:rPr>
          <w:rFonts w:ascii="Times New Roman" w:hAnsi="Times New Roman" w:cs="Times New Roman"/>
          <w:sz w:val="18"/>
          <w:szCs w:val="18"/>
          <w:lang w:val="en-US"/>
        </w:rPr>
        <w:t xml:space="preserve"> group (70.9%) </w:t>
      </w:r>
    </w:p>
    <w:p w:rsidR="000F1E0D" w:rsidRPr="00C533F8" w:rsidRDefault="000F1E0D" w:rsidP="000F1E0D">
      <w:pPr>
        <w:spacing w:after="0" w:line="240" w:lineRule="auto"/>
        <w:rPr>
          <w:rFonts w:ascii="Times New Roman" w:hAnsi="Times New Roman" w:cs="Times New Roman"/>
          <w:sz w:val="18"/>
          <w:szCs w:val="18"/>
          <w:lang w:val="en-GB"/>
        </w:rPr>
      </w:pPr>
      <w:r w:rsidRPr="00C533F8">
        <w:rPr>
          <w:rFonts w:ascii="Times New Roman" w:hAnsi="Times New Roman" w:cs="Times New Roman"/>
          <w:sz w:val="18"/>
          <w:szCs w:val="18"/>
          <w:lang w:val="en-US"/>
        </w:rPr>
        <w:t xml:space="preserve">‡ </w:t>
      </w:r>
      <w:r w:rsidRPr="00C533F8">
        <w:rPr>
          <w:rFonts w:ascii="Times New Roman" w:hAnsi="Times New Roman" w:cs="Times New Roman"/>
          <w:sz w:val="18"/>
          <w:szCs w:val="18"/>
          <w:lang w:val="en-GB"/>
        </w:rPr>
        <w:t>Mann-Whitney</w:t>
      </w:r>
    </w:p>
    <w:p w:rsidR="000F1E0D" w:rsidRPr="00C533F8" w:rsidRDefault="000F1E0D" w:rsidP="000F1E0D">
      <w:pPr>
        <w:spacing w:after="0" w:line="240" w:lineRule="auto"/>
        <w:rPr>
          <w:rFonts w:ascii="Times New Roman" w:hAnsi="Times New Roman" w:cs="Times New Roman"/>
          <w:sz w:val="18"/>
          <w:szCs w:val="18"/>
          <w:lang w:val="en-GB"/>
        </w:rPr>
      </w:pPr>
    </w:p>
    <w:p w:rsidR="000F1E0D" w:rsidRPr="00C533F8" w:rsidRDefault="000F1E0D" w:rsidP="000F1E0D">
      <w:pPr>
        <w:spacing w:after="0" w:line="240" w:lineRule="auto"/>
        <w:rPr>
          <w:rFonts w:ascii="Times New Roman" w:hAnsi="Times New Roman" w:cs="Times New Roman"/>
          <w:sz w:val="18"/>
          <w:szCs w:val="18"/>
          <w:lang w:val="en-GB"/>
        </w:rPr>
      </w:pPr>
    </w:p>
    <w:p w:rsidR="000F1E0D" w:rsidRDefault="000F1E0D" w:rsidP="000F1E0D">
      <w:pPr>
        <w:spacing w:after="0" w:line="240" w:lineRule="auto"/>
        <w:rPr>
          <w:rFonts w:cstheme="minorHAnsi"/>
          <w:sz w:val="16"/>
          <w:szCs w:val="16"/>
          <w:lang w:val="en-GB"/>
        </w:rPr>
      </w:pPr>
    </w:p>
    <w:sectPr w:rsidR="000F1E0D" w:rsidSect="000F1E0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2877" w:rsidRDefault="000E2877" w:rsidP="000F1E0D">
      <w:pPr>
        <w:spacing w:after="0" w:line="240" w:lineRule="auto"/>
      </w:pPr>
      <w:r>
        <w:separator/>
      </w:r>
    </w:p>
  </w:endnote>
  <w:endnote w:type="continuationSeparator" w:id="0">
    <w:p w:rsidR="000E2877" w:rsidRDefault="000E2877" w:rsidP="000F1E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2877" w:rsidRDefault="000E2877" w:rsidP="000F1E0D">
      <w:pPr>
        <w:spacing w:after="0" w:line="240" w:lineRule="auto"/>
      </w:pPr>
      <w:r>
        <w:separator/>
      </w:r>
    </w:p>
  </w:footnote>
  <w:footnote w:type="continuationSeparator" w:id="0">
    <w:p w:rsidR="000E2877" w:rsidRDefault="000E2877" w:rsidP="000F1E0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E0D"/>
    <w:rsid w:val="000A3789"/>
    <w:rsid w:val="000E2877"/>
    <w:rsid w:val="000F1E0D"/>
    <w:rsid w:val="005566AF"/>
    <w:rsid w:val="00684561"/>
    <w:rsid w:val="00746B9E"/>
    <w:rsid w:val="008F6172"/>
    <w:rsid w:val="009835ED"/>
    <w:rsid w:val="00A74970"/>
    <w:rsid w:val="00A77D87"/>
    <w:rsid w:val="00C533F8"/>
    <w:rsid w:val="00DE2EBC"/>
    <w:rsid w:val="00E126B3"/>
    <w:rsid w:val="00E36176"/>
    <w:rsid w:val="00E4741E"/>
    <w:rsid w:val="00F23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5F4A16-74DE-4188-BC4C-0142DBFBB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F1E0D"/>
    <w:rPr>
      <w:color w:val="0563C1" w:themeColor="hyperlink"/>
      <w:u w:val="single"/>
    </w:rPr>
  </w:style>
  <w:style w:type="paragraph" w:styleId="Textonotaalfinal">
    <w:name w:val="endnote text"/>
    <w:basedOn w:val="Normal"/>
    <w:link w:val="TextonotaalfinalCar"/>
    <w:uiPriority w:val="99"/>
    <w:unhideWhenUsed/>
    <w:rsid w:val="000F1E0D"/>
    <w:pPr>
      <w:spacing w:after="0" w:line="240" w:lineRule="auto"/>
    </w:pPr>
    <w:rPr>
      <w:rFonts w:eastAsiaTheme="minorEastAsia"/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rsid w:val="000F1E0D"/>
    <w:rPr>
      <w:rFonts w:eastAsiaTheme="minorEastAsia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0F1E0D"/>
    <w:rPr>
      <w:vertAlign w:val="superscript"/>
    </w:rPr>
  </w:style>
  <w:style w:type="table" w:styleId="Tablaconcuadrcula">
    <w:name w:val="Table Grid"/>
    <w:basedOn w:val="Tablanormal"/>
    <w:uiPriority w:val="39"/>
    <w:rsid w:val="000F1E0D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escripcin">
    <w:name w:val="caption"/>
    <w:basedOn w:val="Normal"/>
    <w:next w:val="Normal"/>
    <w:uiPriority w:val="35"/>
    <w:unhideWhenUsed/>
    <w:qFormat/>
    <w:rsid w:val="000F1E0D"/>
    <w:pPr>
      <w:spacing w:line="240" w:lineRule="auto"/>
    </w:pPr>
    <w:rPr>
      <w:rFonts w:eastAsiaTheme="minorEastAsia"/>
      <w:b/>
      <w:bCs/>
      <w:smallCaps/>
      <w:color w:val="44546A" w:themeColor="text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309</Words>
  <Characters>1705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NAF</dc:creator>
  <cp:keywords/>
  <dc:description/>
  <cp:lastModifiedBy>NAF</cp:lastModifiedBy>
  <cp:revision>3</cp:revision>
  <dcterms:created xsi:type="dcterms:W3CDTF">2020-07-22T16:39:00Z</dcterms:created>
  <dcterms:modified xsi:type="dcterms:W3CDTF">2020-09-26T17:18:00Z</dcterms:modified>
</cp:coreProperties>
</file>