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2070"/>
        <w:tblOverlap w:val="never"/>
        <w:tblW w:w="69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841"/>
        <w:gridCol w:w="852"/>
        <w:gridCol w:w="852"/>
        <w:gridCol w:w="852"/>
        <w:gridCol w:w="852"/>
        <w:gridCol w:w="938"/>
        <w:gridCol w:w="951"/>
        <w:gridCol w:w="1646"/>
        <w:gridCol w:w="1969"/>
      </w:tblGrid>
      <w:tr w14:paraId="1B45C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0A98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  <w:bookmarkStart w:id="0" w:name="_GoBack"/>
            <w:bookmarkEnd w:id="0"/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76B9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auroc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EFB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ci_lo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37F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ci_hi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5649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auprc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1D37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brier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666E7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n_pos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2579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n_total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66E2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analysis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838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scenario</w:t>
            </w:r>
          </w:p>
        </w:tc>
      </w:tr>
      <w:tr w14:paraId="5991C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6AE7E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Model1_Static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4B46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49EC5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0.578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083C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0.717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1207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AFC6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0.235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37F5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5755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81623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1B665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Outcome Definition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BF2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CAM-ICU Only</w:t>
            </w:r>
          </w:p>
        </w:tc>
      </w:tr>
      <w:tr w14:paraId="46A75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5074B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Model3_XGBoost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1B50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0.563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1780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0.484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4A6A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0.635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505E7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2862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0.088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6C0A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4243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81623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1C0A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Outcome Definition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5CBF5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CAM-ICU Only</w:t>
            </w:r>
          </w:p>
        </w:tc>
      </w:tr>
      <w:tr w14:paraId="745AB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2AD3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Model1_Static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2D9E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3C2CE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0.578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23E2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0.717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C6C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0FAE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0.235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3001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6EDF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81623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7346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Outcome Definition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3D279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CAM-ICU + ICD</w:t>
            </w:r>
          </w:p>
        </w:tc>
      </w:tr>
      <w:tr w14:paraId="679FF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6E1B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Model3_XGBoost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3B80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0.563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486B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0.484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F3C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0.635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0DA4D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197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0.088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5B59A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28D0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81623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0532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Outcome Definition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D66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CAM-ICU + ICD</w:t>
            </w:r>
          </w:p>
        </w:tc>
      </w:tr>
      <w:tr w14:paraId="3CFCD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12E2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Model1_Static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01A63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0.584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58C7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0.574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6BC5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0.593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6EA5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18C1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0.242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4E0F4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4D17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81623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3C42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Outcome Definition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3079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Composite (incl. medication proxy)</w:t>
            </w:r>
          </w:p>
        </w:tc>
      </w:tr>
      <w:tr w14:paraId="6BF0E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24FE6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Model3_XGBoost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6A8ED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0.631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5218D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0.622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1C04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0.641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4697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D591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0.219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38F8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855D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81623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0D2E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Outcome Definition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2A49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Composite (incl. medication proxy)</w:t>
            </w:r>
          </w:p>
        </w:tc>
      </w:tr>
      <w:tr w14:paraId="5C913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47BC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Model1_Static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307D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0.568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245A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0.552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652A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0.584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5D0D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030B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0.245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06A2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6263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81623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3024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Prediction Horizon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A4A3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8h Horizon</w:t>
            </w:r>
          </w:p>
        </w:tc>
      </w:tr>
      <w:tr w14:paraId="51E2A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1810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Model3_XGBoost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12F4F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0.616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6058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0.596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56E3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0.631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1325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3054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0.211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682A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437AD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81623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024D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Prediction Horizon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7C21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8h Horizon</w:t>
            </w:r>
          </w:p>
        </w:tc>
      </w:tr>
      <w:tr w14:paraId="6FD71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60D8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Model1_Static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22CFC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0.576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21CA8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0.564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2AB2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0.588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34B7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0.033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6C2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0.244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5F06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1FA2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81623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4A411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Prediction Horizon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4B0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16h Horizon</w:t>
            </w:r>
          </w:p>
        </w:tc>
      </w:tr>
      <w:tr w14:paraId="5ED46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4589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Model3_XGBoost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2B85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0.629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212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0.615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AB31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1469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0.041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706B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0.219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40DC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2091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2E1D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81623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6FA2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Prediction Horizon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2C4B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16h Horizon</w:t>
            </w:r>
          </w:p>
        </w:tc>
      </w:tr>
      <w:tr w14:paraId="0FE19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0614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Model1_Static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77CE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0.584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010D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0.574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47C12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0.593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625E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2C34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0.242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7CF0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3E4F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81623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263B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Prediction Horizon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598C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24h Horizon</w:t>
            </w:r>
          </w:p>
        </w:tc>
      </w:tr>
      <w:tr w14:paraId="7F510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81" w:type="pct"/>
            <w:shd w:val="clear" w:color="auto" w:fill="auto"/>
            <w:noWrap/>
            <w:vAlign w:val="center"/>
          </w:tcPr>
          <w:p w14:paraId="4E52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Model3_XGBoost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14:paraId="0624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0.631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42F3B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0.622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3EEE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0.641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7D83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14:paraId="39C7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0.219</w:t>
            </w:r>
          </w:p>
        </w:tc>
        <w:tc>
          <w:tcPr>
            <w:tcW w:w="396" w:type="pct"/>
            <w:shd w:val="clear" w:color="auto" w:fill="auto"/>
            <w:noWrap/>
            <w:vAlign w:val="center"/>
          </w:tcPr>
          <w:p w14:paraId="66B3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3105</w:t>
            </w:r>
          </w:p>
        </w:tc>
        <w:tc>
          <w:tcPr>
            <w:tcW w:w="401" w:type="pct"/>
            <w:shd w:val="clear" w:color="auto" w:fill="auto"/>
            <w:noWrap/>
            <w:vAlign w:val="center"/>
          </w:tcPr>
          <w:p w14:paraId="3A44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81623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125D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Prediction Horizon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527A8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24h Horizon</w:t>
            </w:r>
          </w:p>
        </w:tc>
      </w:tr>
    </w:tbl>
    <w:p w14:paraId="664FA7CC">
      <w:pPr>
        <w:rPr>
          <w:rFonts w:hint="default" w:ascii="Arial" w:hAnsi="Arial" w:cs="Arial"/>
          <w:b/>
          <w:bCs/>
          <w:lang w:val="en-US" w:eastAsia="zh-CN"/>
        </w:rPr>
      </w:pPr>
      <w:r>
        <w:rPr>
          <w:rFonts w:hint="default" w:ascii="Arial" w:hAnsi="Arial" w:cs="Arial"/>
          <w:b/>
          <w:bCs/>
          <w:lang w:val="en-US" w:eastAsia="zh-CN"/>
        </w:rPr>
        <w:t>Table S1: Sensitivity analyses across outcome definitions and prediction horizons</w:t>
      </w:r>
    </w:p>
    <w:p w14:paraId="0A743AB3">
      <w:pPr>
        <w:rPr>
          <w:rFonts w:hint="default" w:ascii="Arial" w:hAnsi="Arial" w:cs="Arial"/>
          <w:b/>
          <w:bCs/>
          <w:lang w:val="en-US" w:eastAsia="zh-CN"/>
        </w:rPr>
      </w:pPr>
    </w:p>
    <w:p w14:paraId="65634306">
      <w:pPr>
        <w:rPr>
          <w:rFonts w:hint="default" w:ascii="Arial" w:hAnsi="Arial" w:cs="Arial"/>
          <w:b w:val="0"/>
          <w:bCs w:val="0"/>
          <w:lang w:val="en-US" w:eastAsia="zh-CN"/>
        </w:rPr>
      </w:pPr>
    </w:p>
    <w:p w14:paraId="01A02A40">
      <w:pPr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t xml:space="preserve">AUROC, area under the receiver-operating characteristic curve; AUPRC, area under the </w:t>
      </w:r>
    </w:p>
    <w:p w14:paraId="5F8217D3">
      <w:pPr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t xml:space="preserve">precision-recall curve; CI, confidence interval; LR, logistic regression; CAM-ICU, </w:t>
      </w:r>
    </w:p>
    <w:p w14:paraId="188736D5">
      <w:pPr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t>Confusion Assessment Method for the ICU; ICD, International Classification of Diseases.</w:t>
      </w:r>
    </w:p>
    <w:p w14:paraId="53C9FDE1">
      <w:pPr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t>Bootstrap 95% confidence intervals based on 500 resampling iterations.</w:t>
      </w:r>
    </w:p>
    <w:p w14:paraId="5BA0A7B3">
      <w:pPr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t>Model 1: Static logistic regression; Model 3: XGBoost classifier.</w:t>
      </w:r>
    </w:p>
    <w:p w14:paraId="4095E020">
      <w:pPr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t>n_pos, number of positive windows in the test set; n_total, total number of windows in the test set.</w:t>
      </w:r>
    </w:p>
    <w:p w14:paraId="409AA265">
      <w:pPr>
        <w:rPr>
          <w:rFonts w:hint="default" w:ascii="Arial" w:hAnsi="Arial" w:cs="Arial"/>
          <w:b w:val="0"/>
          <w:bCs w:val="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36AECCF">
      <w:pPr>
        <w:rPr>
          <w:rFonts w:hint="default" w:ascii="Arial" w:hAnsi="Arial" w:cs="Arial"/>
          <w:b w:val="0"/>
          <w:bCs w:val="0"/>
          <w:lang w:val="en-US" w:eastAsia="zh-CN"/>
        </w:rPr>
      </w:pPr>
    </w:p>
    <w:p w14:paraId="3732F096">
      <w:pPr>
        <w:rPr>
          <w:rFonts w:hint="default" w:ascii="Arial" w:hAnsi="Arial" w:cs="Arial"/>
          <w:b/>
          <w:bCs/>
          <w:lang w:val="en-US" w:eastAsia="zh-CN"/>
        </w:rPr>
      </w:pPr>
    </w:p>
    <w:p w14:paraId="212E812C">
      <w:pPr>
        <w:rPr>
          <w:rFonts w:hint="default" w:ascii="Arial" w:hAnsi="Arial" w:cs="Arial"/>
          <w:b/>
          <w:bCs/>
          <w:lang w:val="en-US" w:eastAsia="zh-CN"/>
        </w:rPr>
      </w:pPr>
      <w:r>
        <w:rPr>
          <w:rFonts w:hint="default" w:ascii="Arial" w:hAnsi="Arial" w:cs="Arial"/>
          <w:b/>
          <w:bCs/>
          <w:lang w:val="en-US" w:eastAsia="zh-CN"/>
        </w:rPr>
        <w:t>Figure S1: Cumulative incidence functions (CIF) for delirium and ICU death as a competing event, estimated using the Aalen-Johansen estimator.</w:t>
      </w:r>
    </w:p>
    <w:p w14:paraId="0DECCE80">
      <w:pPr>
        <w:jc w:val="center"/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drawing>
          <wp:inline distT="0" distB="0" distL="114300" distR="114300">
            <wp:extent cx="5267325" cy="3253105"/>
            <wp:effectExtent l="0" t="0" r="3175" b="10795"/>
            <wp:docPr id="1" name="图片 1" descr="fig7_c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7_ci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31A45">
      <w:pPr>
        <w:jc w:val="left"/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t xml:space="preserve">CIF, cumulative incidence function; ICU, intensive care unit. </w:t>
      </w:r>
    </w:p>
    <w:p w14:paraId="08798870">
      <w:pPr>
        <w:jc w:val="left"/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t xml:space="preserve">The competing event was defined as ICU death occurring without prior delirium. </w:t>
      </w:r>
    </w:p>
    <w:p w14:paraId="02C98621">
      <w:pPr>
        <w:jc w:val="left"/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t>Patients discharged or transferred without delirium or death were classified as censored.</w:t>
      </w:r>
    </w:p>
    <w:p w14:paraId="6F22B806">
      <w:pPr>
        <w:jc w:val="left"/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lang w:val="en-US" w:eastAsia="zh-CN"/>
        </w:rPr>
        <w:t>Time zero represents ICU admission.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01570"/>
    <w:rsid w:val="16F01570"/>
    <w:rsid w:val="24E7715D"/>
    <w:rsid w:val="27621293"/>
    <w:rsid w:val="291D7AF7"/>
    <w:rsid w:val="2B5D53D1"/>
    <w:rsid w:val="37D97C09"/>
    <w:rsid w:val="3F7303B1"/>
    <w:rsid w:val="4ADF036D"/>
    <w:rsid w:val="54615041"/>
    <w:rsid w:val="55FE4E81"/>
    <w:rsid w:val="65EA289F"/>
    <w:rsid w:val="6BBF51AA"/>
    <w:rsid w:val="750D5E6A"/>
    <w:rsid w:val="7766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ibliography"/>
    <w:basedOn w:val="1"/>
    <w:qFormat/>
    <w:uiPriority w:val="0"/>
    <w:pPr>
      <w:tabs>
        <w:tab w:val="left" w:pos="384"/>
      </w:tabs>
      <w:ind w:left="384" w:hanging="384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2026-03-11T10:15:00Z</dcterms:created>
  <dc:creator>黄维锦</dc:creator>
  <cp:lastModifiedBy>黄维锦</cp:lastModifiedBy>
  <dcterms:modified xsi:type="dcterms:W3CDTF">2026-03-11T10:27:34Z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C5DC50B798CB41C98FDC5C60097AB666_11</vt:lpwstr>
  </property>
  <property fmtid="{D5CDD505-2E9C-101B-9397-08002B2CF9AE}" pid="4" name="KSOTemplateDocerSaveRecord">
    <vt:lpwstr>eyJoZGlkIjoiZGNhNGZjNjY3NTFjYjIxY2U4MDkwZjU3NmNjMWJhNWUiLCJ1c2VySWQiOiIxNjgyNzQ5NzMxIn0=</vt:lpwstr>
  </property>
</Properties>
</file>