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9614" w14:textId="77777777" w:rsidR="00631B8B" w:rsidRDefault="00000000">
      <w:pPr>
        <w:rPr>
          <w:sz w:val="32"/>
          <w:szCs w:val="40"/>
        </w:rPr>
      </w:pPr>
      <w:r>
        <w:rPr>
          <w:rFonts w:ascii="Times New Roman" w:hAnsi="Times New Roman"/>
          <w:b/>
          <w:bCs/>
          <w:sz w:val="32"/>
          <w:szCs w:val="40"/>
        </w:rPr>
        <w:t xml:space="preserve">TABLE </w:t>
      </w:r>
      <w:r>
        <w:rPr>
          <w:rFonts w:ascii="Times New Roman" w:hAnsi="Times New Roman" w:hint="eastAsia"/>
          <w:b/>
          <w:bCs/>
          <w:sz w:val="32"/>
          <w:szCs w:val="40"/>
        </w:rPr>
        <w:t>II</w:t>
      </w:r>
      <w:r>
        <w:rPr>
          <w:rFonts w:ascii="Times New Roman" w:hAnsi="Times New Roman"/>
          <w:b/>
          <w:bCs/>
          <w:sz w:val="32"/>
          <w:szCs w:val="40"/>
        </w:rPr>
        <w:t>. Pairwise Comparison of Immunodeficiency Type Distribution Across Age Groups</w:t>
      </w:r>
      <w:r>
        <w:rPr>
          <w:rFonts w:ascii="Times New Roman" w:hAnsi="Times New Roman" w:hint="eastAsia"/>
          <w:b/>
          <w:bCs/>
          <w:sz w:val="32"/>
          <w:szCs w:val="40"/>
        </w:rPr>
        <w:t>（</w:t>
      </w:r>
      <w:r>
        <w:rPr>
          <w:rFonts w:ascii="Times New Roman" w:hAnsi="Times New Roman" w:hint="eastAsia"/>
          <w:b/>
          <w:bCs/>
          <w:sz w:val="32"/>
          <w:szCs w:val="40"/>
        </w:rPr>
        <w:t>Fisher's Exact Test</w:t>
      </w:r>
      <w:r>
        <w:rPr>
          <w:rFonts w:ascii="Times New Roman" w:hAnsi="Times New Roman" w:hint="eastAsia"/>
          <w:b/>
          <w:bCs/>
          <w:sz w:val="32"/>
          <w:szCs w:val="40"/>
        </w:rPr>
        <w:t>）</w:t>
      </w:r>
    </w:p>
    <w:p w14:paraId="120AE316" w14:textId="77777777" w:rsidR="00631B8B" w:rsidRDefault="00631B8B">
      <w:pPr>
        <w:rPr>
          <w:rFonts w:ascii="Times New Roman" w:hAnsi="Times New Roman"/>
          <w:b/>
          <w:bCs/>
        </w:rPr>
      </w:pPr>
    </w:p>
    <w:tbl>
      <w:tblPr>
        <w:tblpPr w:leftFromText="180" w:rightFromText="180" w:vertAnchor="page" w:horzAnchor="page" w:tblpX="1468" w:tblpY="2483"/>
        <w:tblOverlap w:val="never"/>
        <w:tblW w:w="20896" w:type="dxa"/>
        <w:tblLook w:val="04A0" w:firstRow="1" w:lastRow="0" w:firstColumn="1" w:lastColumn="0" w:noHBand="0" w:noVBand="1"/>
      </w:tblPr>
      <w:tblGrid>
        <w:gridCol w:w="3903"/>
        <w:gridCol w:w="3395"/>
        <w:gridCol w:w="1432"/>
        <w:gridCol w:w="1405"/>
        <w:gridCol w:w="2768"/>
        <w:gridCol w:w="2973"/>
        <w:gridCol w:w="5020"/>
      </w:tblGrid>
      <w:tr w:rsidR="00631B8B" w14:paraId="0D13F1C4" w14:textId="77777777">
        <w:trPr>
          <w:trHeight w:val="756"/>
        </w:trPr>
        <w:tc>
          <w:tcPr>
            <w:tcW w:w="3903" w:type="dxa"/>
            <w:tcBorders>
              <w:top w:val="single" w:sz="4" w:space="0" w:color="auto"/>
              <w:bottom w:val="single" w:sz="4" w:space="0" w:color="auto"/>
            </w:tcBorders>
          </w:tcPr>
          <w:p w14:paraId="4DEBB920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</w:rPr>
            </w:pPr>
            <w:bookmarkStart w:id="0" w:name="OLE_LINK1"/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  <w:t>Comparison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14:paraId="03E80EFC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  <w:t>Test Method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3263EAD9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  <w:t>χ² / Statistic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232CEF06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hAnsi="Times New Roman" w:hint="eastAsia"/>
                <w:b/>
                <w:bCs/>
                <w:kern w:val="0"/>
                <w:sz w:val="22"/>
                <w:szCs w:val="22"/>
                <w:lang w:bidi="ar"/>
              </w:rPr>
              <w:t>df</w:t>
            </w:r>
            <w:proofErr w:type="spellEnd"/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</w:tcPr>
          <w:p w14:paraId="5E8E30F2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  <w:t>p-value</w:t>
            </w:r>
          </w:p>
        </w:tc>
        <w:tc>
          <w:tcPr>
            <w:tcW w:w="2973" w:type="dxa"/>
            <w:tcBorders>
              <w:top w:val="single" w:sz="4" w:space="0" w:color="auto"/>
              <w:bottom w:val="single" w:sz="4" w:space="0" w:color="auto"/>
            </w:tcBorders>
          </w:tcPr>
          <w:p w14:paraId="397D8DD8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  <w:t>Significant (α=0.05)</w:t>
            </w: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14:paraId="25EA0184" w14:textId="77777777" w:rsidR="00631B8B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bidi="ar"/>
              </w:rPr>
              <w:t>Interpretation</w:t>
            </w:r>
          </w:p>
        </w:tc>
      </w:tr>
      <w:tr w:rsidR="00631B8B" w14:paraId="1899BD32" w14:textId="77777777">
        <w:trPr>
          <w:trHeight w:val="756"/>
        </w:trPr>
        <w:tc>
          <w:tcPr>
            <w:tcW w:w="3903" w:type="dxa"/>
            <w:tcBorders>
              <w:top w:val="single" w:sz="4" w:space="0" w:color="auto"/>
            </w:tcBorders>
            <w:vAlign w:val="bottom"/>
          </w:tcPr>
          <w:p w14:paraId="55D2FA47" w14:textId="037566FB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Overall distribution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vAlign w:val="bottom"/>
          </w:tcPr>
          <w:p w14:paraId="0814C875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Chi-square goodness-of-fit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bottom"/>
          </w:tcPr>
          <w:p w14:paraId="6B91D4EF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32.25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bottom"/>
          </w:tcPr>
          <w:p w14:paraId="11A968A7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vAlign w:val="bottom"/>
          </w:tcPr>
          <w:p w14:paraId="60408111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&lt; 0.0001</w:t>
            </w:r>
          </w:p>
        </w:tc>
        <w:tc>
          <w:tcPr>
            <w:tcW w:w="2973" w:type="dxa"/>
            <w:tcBorders>
              <w:top w:val="single" w:sz="4" w:space="0" w:color="auto"/>
            </w:tcBorders>
            <w:vAlign w:val="bottom"/>
          </w:tcPr>
          <w:p w14:paraId="4B5D1C51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020" w:type="dxa"/>
            <w:tcBorders>
              <w:top w:val="single" w:sz="4" w:space="0" w:color="auto"/>
            </w:tcBorders>
            <w:vAlign w:val="bottom"/>
          </w:tcPr>
          <w:p w14:paraId="34B2C42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Non-uniform age distribution of confirmed cases</w:t>
            </w:r>
          </w:p>
        </w:tc>
      </w:tr>
      <w:tr w:rsidR="00631B8B" w14:paraId="56370291" w14:textId="77777777">
        <w:trPr>
          <w:trHeight w:val="736"/>
        </w:trPr>
        <w:tc>
          <w:tcPr>
            <w:tcW w:w="3903" w:type="dxa"/>
            <w:shd w:val="clear" w:color="auto" w:fill="D7D7D7"/>
            <w:vAlign w:val="bottom"/>
          </w:tcPr>
          <w:p w14:paraId="0D429AC9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0–6 months vs 7 months–3 years</w:t>
            </w:r>
          </w:p>
        </w:tc>
        <w:tc>
          <w:tcPr>
            <w:tcW w:w="3395" w:type="dxa"/>
            <w:shd w:val="clear" w:color="auto" w:fill="D7D7D7"/>
            <w:vAlign w:val="bottom"/>
          </w:tcPr>
          <w:p w14:paraId="36C7DD52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Fisher's exact test</w:t>
            </w:r>
          </w:p>
        </w:tc>
        <w:tc>
          <w:tcPr>
            <w:tcW w:w="1432" w:type="dxa"/>
            <w:shd w:val="clear" w:color="auto" w:fill="D7D7D7"/>
            <w:vAlign w:val="bottom"/>
          </w:tcPr>
          <w:p w14:paraId="6C067EC8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05" w:type="dxa"/>
            <w:shd w:val="clear" w:color="auto" w:fill="D7D7D7"/>
            <w:vAlign w:val="bottom"/>
          </w:tcPr>
          <w:p w14:paraId="4526BCC3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68" w:type="dxa"/>
            <w:shd w:val="clear" w:color="auto" w:fill="D7D7D7"/>
            <w:vAlign w:val="bottom"/>
          </w:tcPr>
          <w:p w14:paraId="33CCE472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0.924</w:t>
            </w:r>
          </w:p>
        </w:tc>
        <w:tc>
          <w:tcPr>
            <w:tcW w:w="2973" w:type="dxa"/>
            <w:shd w:val="clear" w:color="auto" w:fill="D7D7D7"/>
            <w:vAlign w:val="bottom"/>
          </w:tcPr>
          <w:p w14:paraId="6B64FD40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020" w:type="dxa"/>
            <w:shd w:val="clear" w:color="auto" w:fill="D7D7D7"/>
            <w:vAlign w:val="bottom"/>
          </w:tcPr>
          <w:p w14:paraId="27C372B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Similar immunophenotype in infant groups</w:t>
            </w:r>
          </w:p>
        </w:tc>
      </w:tr>
      <w:tr w:rsidR="00631B8B" w14:paraId="10C0A18C" w14:textId="77777777">
        <w:trPr>
          <w:trHeight w:val="736"/>
        </w:trPr>
        <w:tc>
          <w:tcPr>
            <w:tcW w:w="3903" w:type="dxa"/>
            <w:vAlign w:val="bottom"/>
          </w:tcPr>
          <w:p w14:paraId="05709A17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0–6 months vs 4–8 years</w:t>
            </w:r>
          </w:p>
        </w:tc>
        <w:tc>
          <w:tcPr>
            <w:tcW w:w="3395" w:type="dxa"/>
            <w:vAlign w:val="bottom"/>
          </w:tcPr>
          <w:p w14:paraId="155E6356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Fisher's exact test</w:t>
            </w:r>
          </w:p>
        </w:tc>
        <w:tc>
          <w:tcPr>
            <w:tcW w:w="1432" w:type="dxa"/>
            <w:vAlign w:val="bottom"/>
          </w:tcPr>
          <w:p w14:paraId="50767B32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05" w:type="dxa"/>
            <w:vAlign w:val="bottom"/>
          </w:tcPr>
          <w:p w14:paraId="2641EC3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68" w:type="dxa"/>
            <w:vAlign w:val="bottom"/>
          </w:tcPr>
          <w:p w14:paraId="00F5B378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0.883</w:t>
            </w:r>
          </w:p>
        </w:tc>
        <w:tc>
          <w:tcPr>
            <w:tcW w:w="2973" w:type="dxa"/>
            <w:vAlign w:val="bottom"/>
          </w:tcPr>
          <w:p w14:paraId="5205AF3C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020" w:type="dxa"/>
            <w:vAlign w:val="bottom"/>
          </w:tcPr>
          <w:p w14:paraId="47C1265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Both dominated by combined immunodeficiencies</w:t>
            </w:r>
          </w:p>
        </w:tc>
      </w:tr>
      <w:tr w:rsidR="00631B8B" w14:paraId="30EC5B2E" w14:textId="77777777">
        <w:trPr>
          <w:trHeight w:val="736"/>
        </w:trPr>
        <w:tc>
          <w:tcPr>
            <w:tcW w:w="3903" w:type="dxa"/>
            <w:shd w:val="clear" w:color="auto" w:fill="D7D7D7"/>
            <w:vAlign w:val="bottom"/>
          </w:tcPr>
          <w:p w14:paraId="44AA86CF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0–6 months vs 9–15 years</w:t>
            </w:r>
          </w:p>
        </w:tc>
        <w:tc>
          <w:tcPr>
            <w:tcW w:w="3395" w:type="dxa"/>
            <w:shd w:val="clear" w:color="auto" w:fill="D7D7D7"/>
            <w:vAlign w:val="bottom"/>
          </w:tcPr>
          <w:p w14:paraId="6A84347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Fisher's exact test</w:t>
            </w:r>
          </w:p>
        </w:tc>
        <w:tc>
          <w:tcPr>
            <w:tcW w:w="1432" w:type="dxa"/>
            <w:shd w:val="clear" w:color="auto" w:fill="D7D7D7"/>
            <w:vAlign w:val="bottom"/>
          </w:tcPr>
          <w:p w14:paraId="28496E19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05" w:type="dxa"/>
            <w:shd w:val="clear" w:color="auto" w:fill="D7D7D7"/>
            <w:vAlign w:val="bottom"/>
          </w:tcPr>
          <w:p w14:paraId="69D32AB3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68" w:type="dxa"/>
            <w:shd w:val="clear" w:color="auto" w:fill="D7D7D7"/>
            <w:vAlign w:val="bottom"/>
          </w:tcPr>
          <w:p w14:paraId="489CB946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0.043</w:t>
            </w:r>
          </w:p>
        </w:tc>
        <w:tc>
          <w:tcPr>
            <w:tcW w:w="2973" w:type="dxa"/>
            <w:shd w:val="clear" w:color="auto" w:fill="D7D7D7"/>
            <w:vAlign w:val="bottom"/>
          </w:tcPr>
          <w:p w14:paraId="70DF901A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020" w:type="dxa"/>
            <w:shd w:val="clear" w:color="auto" w:fill="D7D7D7"/>
            <w:vAlign w:val="bottom"/>
          </w:tcPr>
          <w:p w14:paraId="4E73E8EE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Significant transition observed</w:t>
            </w:r>
          </w:p>
        </w:tc>
      </w:tr>
      <w:tr w:rsidR="00631B8B" w14:paraId="7CB6A3AA" w14:textId="77777777">
        <w:trPr>
          <w:trHeight w:val="736"/>
        </w:trPr>
        <w:tc>
          <w:tcPr>
            <w:tcW w:w="3903" w:type="dxa"/>
            <w:vAlign w:val="bottom"/>
          </w:tcPr>
          <w:p w14:paraId="33817462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7 months–3 years vs 4–8 years</w:t>
            </w:r>
          </w:p>
        </w:tc>
        <w:tc>
          <w:tcPr>
            <w:tcW w:w="3395" w:type="dxa"/>
            <w:vAlign w:val="bottom"/>
          </w:tcPr>
          <w:p w14:paraId="789F37B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Fisher's exact test</w:t>
            </w:r>
          </w:p>
        </w:tc>
        <w:tc>
          <w:tcPr>
            <w:tcW w:w="1432" w:type="dxa"/>
            <w:vAlign w:val="bottom"/>
          </w:tcPr>
          <w:p w14:paraId="65CAA498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05" w:type="dxa"/>
            <w:vAlign w:val="bottom"/>
          </w:tcPr>
          <w:p w14:paraId="3E38CED1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68" w:type="dxa"/>
            <w:vAlign w:val="bottom"/>
          </w:tcPr>
          <w:p w14:paraId="0128A33F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0.951</w:t>
            </w:r>
          </w:p>
        </w:tc>
        <w:tc>
          <w:tcPr>
            <w:tcW w:w="2973" w:type="dxa"/>
            <w:vAlign w:val="bottom"/>
          </w:tcPr>
          <w:p w14:paraId="1FE91CCB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020" w:type="dxa"/>
            <w:vAlign w:val="bottom"/>
          </w:tcPr>
          <w:p w14:paraId="4DA6D278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High consistency among young children</w:t>
            </w:r>
          </w:p>
        </w:tc>
      </w:tr>
      <w:tr w:rsidR="00631B8B" w14:paraId="46F9F6CE" w14:textId="77777777">
        <w:trPr>
          <w:trHeight w:val="756"/>
        </w:trPr>
        <w:tc>
          <w:tcPr>
            <w:tcW w:w="3903" w:type="dxa"/>
            <w:shd w:val="clear" w:color="auto" w:fill="D7D7D7"/>
            <w:vAlign w:val="bottom"/>
          </w:tcPr>
          <w:p w14:paraId="41306F91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7 months–3 years vs 9–15 years</w:t>
            </w:r>
          </w:p>
        </w:tc>
        <w:tc>
          <w:tcPr>
            <w:tcW w:w="3395" w:type="dxa"/>
            <w:shd w:val="clear" w:color="auto" w:fill="D7D7D7"/>
            <w:vAlign w:val="bottom"/>
          </w:tcPr>
          <w:p w14:paraId="5EE49045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Fisher's exact test</w:t>
            </w:r>
          </w:p>
        </w:tc>
        <w:tc>
          <w:tcPr>
            <w:tcW w:w="1432" w:type="dxa"/>
            <w:shd w:val="clear" w:color="auto" w:fill="D7D7D7"/>
            <w:vAlign w:val="bottom"/>
          </w:tcPr>
          <w:p w14:paraId="69059458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05" w:type="dxa"/>
            <w:shd w:val="clear" w:color="auto" w:fill="D7D7D7"/>
            <w:vAlign w:val="bottom"/>
          </w:tcPr>
          <w:p w14:paraId="2862F728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68" w:type="dxa"/>
            <w:shd w:val="clear" w:color="auto" w:fill="D7D7D7"/>
            <w:vAlign w:val="bottom"/>
          </w:tcPr>
          <w:p w14:paraId="5FC4A23D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0.038</w:t>
            </w:r>
          </w:p>
        </w:tc>
        <w:tc>
          <w:tcPr>
            <w:tcW w:w="2973" w:type="dxa"/>
            <w:shd w:val="clear" w:color="auto" w:fill="D7D7D7"/>
            <w:vAlign w:val="bottom"/>
          </w:tcPr>
          <w:p w14:paraId="29E3EE53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020" w:type="dxa"/>
            <w:shd w:val="clear" w:color="auto" w:fill="D7D7D7"/>
            <w:vAlign w:val="bottom"/>
          </w:tcPr>
          <w:p w14:paraId="37DADA33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Adolescent group shows divergence</w:t>
            </w:r>
          </w:p>
        </w:tc>
      </w:tr>
      <w:tr w:rsidR="00631B8B" w14:paraId="226AF573" w14:textId="77777777">
        <w:trPr>
          <w:trHeight w:val="756"/>
        </w:trPr>
        <w:tc>
          <w:tcPr>
            <w:tcW w:w="3903" w:type="dxa"/>
            <w:tcBorders>
              <w:bottom w:val="single" w:sz="4" w:space="0" w:color="auto"/>
            </w:tcBorders>
            <w:vAlign w:val="bottom"/>
          </w:tcPr>
          <w:p w14:paraId="136B127C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4–8 years vs 9–15 years</w:t>
            </w:r>
          </w:p>
        </w:tc>
        <w:tc>
          <w:tcPr>
            <w:tcW w:w="3395" w:type="dxa"/>
            <w:tcBorders>
              <w:bottom w:val="single" w:sz="4" w:space="0" w:color="auto"/>
            </w:tcBorders>
            <w:vAlign w:val="bottom"/>
          </w:tcPr>
          <w:p w14:paraId="4C5E37FA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Fisher's exact test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bottom"/>
          </w:tcPr>
          <w:p w14:paraId="6BA1ABD1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bottom"/>
          </w:tcPr>
          <w:p w14:paraId="77949920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2768" w:type="dxa"/>
            <w:tcBorders>
              <w:bottom w:val="single" w:sz="4" w:space="0" w:color="auto"/>
            </w:tcBorders>
            <w:vAlign w:val="bottom"/>
          </w:tcPr>
          <w:p w14:paraId="232D1460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0.041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vAlign w:val="bottom"/>
          </w:tcPr>
          <w:p w14:paraId="2CEBF9FA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020" w:type="dxa"/>
            <w:tcBorders>
              <w:bottom w:val="single" w:sz="4" w:space="0" w:color="auto"/>
            </w:tcBorders>
            <w:vAlign w:val="bottom"/>
          </w:tcPr>
          <w:p w14:paraId="203FDE8A" w14:textId="77777777" w:rsidR="00631B8B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Distinct immunological profiles</w:t>
            </w:r>
          </w:p>
        </w:tc>
      </w:tr>
    </w:tbl>
    <w:p w14:paraId="5F4F0A85" w14:textId="77777777" w:rsidR="00631B8B" w:rsidRDefault="00631B8B">
      <w:pPr>
        <w:rPr>
          <w:rFonts w:ascii="Times New Roman" w:hAnsi="Times New Roman"/>
          <w:b/>
          <w:bCs/>
          <w:sz w:val="24"/>
          <w:szCs w:val="32"/>
        </w:rPr>
      </w:pPr>
    </w:p>
    <w:p w14:paraId="247528AC" w14:textId="77777777" w:rsidR="00631B8B" w:rsidRDefault="00000000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sz w:val="24"/>
          <w:szCs w:val="32"/>
        </w:rPr>
        <w:t>Notes:</w:t>
      </w:r>
    </w:p>
    <w:p w14:paraId="2604E201" w14:textId="77777777" w:rsidR="00631B8B" w:rsidRDefault="00000000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sz w:val="24"/>
          <w:szCs w:val="32"/>
        </w:rPr>
        <w:t>Fisher's exact test was used for pairwise comparisons due to small expected cell counts.</w:t>
      </w:r>
    </w:p>
    <w:p w14:paraId="3865BBFC" w14:textId="77777777" w:rsidR="00631B8B" w:rsidRDefault="00000000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sz w:val="24"/>
          <w:szCs w:val="32"/>
        </w:rPr>
        <w:t xml:space="preserve">Significance level: </w:t>
      </w:r>
      <w:r>
        <w:rPr>
          <w:rFonts w:ascii="Times New Roman" w:hAnsi="Times New Roman" w:hint="eastAsia"/>
          <w:sz w:val="24"/>
          <w:szCs w:val="32"/>
        </w:rPr>
        <w:t>α</w:t>
      </w:r>
      <w:r>
        <w:rPr>
          <w:rFonts w:ascii="Times New Roman" w:hAnsi="Times New Roman" w:hint="eastAsia"/>
          <w:sz w:val="24"/>
          <w:szCs w:val="32"/>
        </w:rPr>
        <w:t xml:space="preserve"> = 0.05 (two-sided, unadjusted).</w:t>
      </w:r>
    </w:p>
    <w:p w14:paraId="23F05ECF" w14:textId="77777777" w:rsidR="00631B8B" w:rsidRDefault="00000000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sz w:val="24"/>
          <w:szCs w:val="32"/>
        </w:rPr>
        <w:t xml:space="preserve">For multiple pairwise comparisons, Bonferroni-corrected </w:t>
      </w:r>
      <w:r>
        <w:rPr>
          <w:rFonts w:ascii="Times New Roman" w:hAnsi="Times New Roman" w:hint="eastAsia"/>
          <w:sz w:val="24"/>
          <w:szCs w:val="32"/>
        </w:rPr>
        <w:t>α</w:t>
      </w:r>
      <w:r>
        <w:rPr>
          <w:rFonts w:ascii="Times New Roman" w:hAnsi="Times New Roman" w:hint="eastAsia"/>
          <w:sz w:val="24"/>
          <w:szCs w:val="32"/>
        </w:rPr>
        <w:t xml:space="preserve"> = 0.05/6 </w:t>
      </w:r>
      <w:r>
        <w:rPr>
          <w:rFonts w:ascii="Times New Roman" w:hAnsi="Times New Roman" w:hint="eastAsia"/>
          <w:sz w:val="24"/>
          <w:szCs w:val="32"/>
        </w:rPr>
        <w:t>≈</w:t>
      </w:r>
      <w:r>
        <w:rPr>
          <w:rFonts w:ascii="Times New Roman" w:hAnsi="Times New Roman" w:hint="eastAsia"/>
          <w:sz w:val="24"/>
          <w:szCs w:val="32"/>
        </w:rPr>
        <w:t xml:space="preserve"> 0.0083; under this stricter threshold, no pairwise comparison reached statistical significance, though the overall distribution remained highly significant (</w:t>
      </w:r>
      <w:r>
        <w:rPr>
          <w:rFonts w:ascii="Times New Roman" w:hAnsi="Times New Roman" w:hint="eastAsia"/>
          <w:sz w:val="24"/>
          <w:szCs w:val="32"/>
        </w:rPr>
        <w:t>χ²</w:t>
      </w:r>
      <w:r>
        <w:rPr>
          <w:rFonts w:ascii="Times New Roman" w:hAnsi="Times New Roman" w:hint="eastAsia"/>
          <w:sz w:val="24"/>
          <w:szCs w:val="32"/>
        </w:rPr>
        <w:t xml:space="preserve"> = 32.25, </w:t>
      </w:r>
      <w:proofErr w:type="spellStart"/>
      <w:r>
        <w:rPr>
          <w:rFonts w:ascii="Times New Roman" w:hAnsi="Times New Roman" w:hint="eastAsia"/>
          <w:sz w:val="24"/>
          <w:szCs w:val="32"/>
        </w:rPr>
        <w:t>df</w:t>
      </w:r>
      <w:proofErr w:type="spellEnd"/>
      <w:r>
        <w:rPr>
          <w:rFonts w:ascii="Times New Roman" w:hAnsi="Times New Roman" w:hint="eastAsia"/>
          <w:sz w:val="24"/>
          <w:szCs w:val="32"/>
        </w:rPr>
        <w:t xml:space="preserve"> = 3, p &lt; 0.0001).</w:t>
      </w:r>
    </w:p>
    <w:bookmarkEnd w:id="0"/>
    <w:p w14:paraId="181655E9" w14:textId="77777777" w:rsidR="00631B8B" w:rsidRDefault="00631B8B"/>
    <w:sectPr w:rsidR="00631B8B" w:rsidSect="0092702F">
      <w:pgSz w:w="22680" w:h="17010" w:orient="landscape"/>
      <w:pgMar w:top="1440" w:right="1803" w:bottom="1440" w:left="180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8B"/>
    <w:rsid w:val="003F4D76"/>
    <w:rsid w:val="00631B8B"/>
    <w:rsid w:val="0092702F"/>
    <w:rsid w:val="00C45EAE"/>
    <w:rsid w:val="10A11C4B"/>
    <w:rsid w:val="16F34A2A"/>
    <w:rsid w:val="2A2B105E"/>
    <w:rsid w:val="42680F37"/>
    <w:rsid w:val="437B7CC1"/>
    <w:rsid w:val="5D2D1BF7"/>
    <w:rsid w:val="5DCA37B3"/>
    <w:rsid w:val="7D1B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8DC523"/>
  <w15:docId w15:val="{54CAF566-0D11-4F6C-9596-A241BB44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2026-06-03T01:40:00Z</dcterms:created>
  <dcterms:modified xsi:type="dcterms:W3CDTF">2026-06-03T01:40:00Z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1D0883D4D2CA4236A35CB60932FD1A5C_13</vt:lpwstr>
  </property>
</Properties>
</file>