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CA0484" w14:textId="77777777" w:rsidR="004635F8" w:rsidRDefault="004635F8" w:rsidP="004635F8">
      <w:pPr>
        <w:rPr>
          <w:noProof/>
        </w:rPr>
      </w:pPr>
    </w:p>
    <w:p w14:paraId="7CCB293B" w14:textId="02A857B1" w:rsidR="004635F8" w:rsidRDefault="004635F8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0E8B9A5" wp14:editId="0967E4CD">
            <wp:extent cx="8752835" cy="469582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1008" cy="4700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4F339D">
        <w:t xml:space="preserve"> </w:t>
      </w:r>
      <w:r w:rsidRPr="004F339D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F53822">
        <w:rPr>
          <w:rFonts w:ascii="Times New Roman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B3DAB">
        <w:rPr>
          <w:rFonts w:ascii="Times New Roman" w:hAnsi="Times New Roman" w:cs="Times New Roman"/>
          <w:sz w:val="24"/>
          <w:szCs w:val="24"/>
        </w:rPr>
        <w:t xml:space="preserve"> Scatter plot representing the genome-wise linkage disequilibrium (LD) decay. The LD estimate (</w:t>
      </w:r>
      <w:r w:rsidRPr="00DB3DAB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DB3DAB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DB3DAB">
        <w:rPr>
          <w:rFonts w:ascii="Times New Roman" w:hAnsi="Times New Roman" w:cs="Times New Roman"/>
          <w:sz w:val="24"/>
          <w:szCs w:val="24"/>
        </w:rPr>
        <w:t xml:space="preserve">) for pairs of SNPs was plotted against the corresponding physical positions in mega base pairs (Mb) based on IWGSC Wheat Chinese Spring IWGSC </w:t>
      </w:r>
      <w:proofErr w:type="spellStart"/>
      <w:r w:rsidRPr="00DB3DAB">
        <w:rPr>
          <w:rFonts w:ascii="Times New Roman" w:hAnsi="Times New Roman" w:cs="Times New Roman"/>
          <w:sz w:val="24"/>
          <w:szCs w:val="24"/>
        </w:rPr>
        <w:t>RefSeq</w:t>
      </w:r>
      <w:proofErr w:type="spellEnd"/>
      <w:r w:rsidRPr="00DB3DAB">
        <w:rPr>
          <w:rFonts w:ascii="Times New Roman" w:hAnsi="Times New Roman" w:cs="Times New Roman"/>
          <w:sz w:val="24"/>
          <w:szCs w:val="24"/>
        </w:rPr>
        <w:t xml:space="preserve"> v1.0. The dashed red line represents the population-specific critical value of</w:t>
      </w:r>
      <w:r w:rsidRPr="00DB3DAB">
        <w:rPr>
          <w:rFonts w:ascii="Times New Roman" w:hAnsi="Times New Roman" w:cs="Times New Roman"/>
          <w:i/>
          <w:iCs/>
          <w:sz w:val="24"/>
          <w:szCs w:val="24"/>
        </w:rPr>
        <w:t xml:space="preserve"> r</w:t>
      </w:r>
      <w:r w:rsidRPr="00DB3DAB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DB3DAB">
        <w:rPr>
          <w:rFonts w:ascii="Times New Roman" w:hAnsi="Times New Roman" w:cs="Times New Roman"/>
          <w:sz w:val="24"/>
          <w:szCs w:val="24"/>
        </w:rPr>
        <w:t>=0.</w:t>
      </w:r>
      <w:r>
        <w:rPr>
          <w:rFonts w:ascii="Times New Roman" w:hAnsi="Times New Roman" w:cs="Times New Roman"/>
          <w:sz w:val="24"/>
          <w:szCs w:val="24"/>
        </w:rPr>
        <w:t>1</w:t>
      </w:r>
    </w:p>
    <w:p w14:paraId="0F38CC76" w14:textId="11089653" w:rsidR="00703D42" w:rsidRDefault="00703D42">
      <w:pPr>
        <w:rPr>
          <w:rFonts w:ascii="Times New Roman" w:hAnsi="Times New Roman" w:cs="Times New Roman"/>
          <w:sz w:val="24"/>
          <w:szCs w:val="24"/>
        </w:rPr>
      </w:pPr>
    </w:p>
    <w:p w14:paraId="6A100ED2" w14:textId="77777777" w:rsidR="00703D42" w:rsidRDefault="00703D42" w:rsidP="00703D42"/>
    <w:p w14:paraId="05158355" w14:textId="417F83DB" w:rsidR="00703D42" w:rsidRPr="002A1C8C" w:rsidRDefault="00703D42" w:rsidP="00703D42">
      <w:r>
        <w:rPr>
          <w:noProof/>
        </w:rPr>
        <w:drawing>
          <wp:inline distT="0" distB="0" distL="0" distR="0" wp14:anchorId="255BFCB7" wp14:editId="54FAD218">
            <wp:extent cx="9024927" cy="4735830"/>
            <wp:effectExtent l="0" t="0" r="5080" b="0"/>
            <wp:docPr id="14" name="Picture 14" descr="A picture containing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picture containing time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13894" cy="4782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Hlk64899662"/>
      <w:r w:rsidRPr="00703D4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03D42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DB3DAB">
        <w:rPr>
          <w:rFonts w:ascii="Times New Roman" w:hAnsi="Times New Roman" w:cs="Times New Roman"/>
          <w:b/>
          <w:bCs/>
          <w:sz w:val="24"/>
          <w:szCs w:val="24"/>
        </w:rPr>
        <w:t>Fig.</w:t>
      </w:r>
      <w:r>
        <w:rPr>
          <w:rFonts w:ascii="Times New Roman" w:hAnsi="Times New Roman" w:cs="Times New Roman"/>
          <w:b/>
          <w:bCs/>
          <w:sz w:val="24"/>
          <w:szCs w:val="24"/>
        </w:rPr>
        <w:t>S2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B3D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0"/>
      <w:r w:rsidRPr="00DB3DAB">
        <w:rPr>
          <w:rFonts w:ascii="Times New Roman" w:hAnsi="Times New Roman" w:cs="Times New Roman"/>
          <w:sz w:val="24"/>
          <w:szCs w:val="24"/>
        </w:rPr>
        <w:t>Scatter plot representing the chromosome-wise linkage disequilibrium (LD) decay. The LD estimate (</w:t>
      </w:r>
      <w:r w:rsidRPr="00DB3DAB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DB3DAB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DB3DAB">
        <w:rPr>
          <w:rFonts w:ascii="Times New Roman" w:hAnsi="Times New Roman" w:cs="Times New Roman"/>
          <w:sz w:val="24"/>
          <w:szCs w:val="24"/>
        </w:rPr>
        <w:t xml:space="preserve">) for pairs of SNPs was plotted against the corresponding physical positions in mega base pairs (Mb) based on Wheat Chinese Spring IWGSC </w:t>
      </w:r>
      <w:proofErr w:type="spellStart"/>
      <w:r w:rsidRPr="00DB3DAB">
        <w:rPr>
          <w:rFonts w:ascii="Times New Roman" w:hAnsi="Times New Roman" w:cs="Times New Roman"/>
          <w:sz w:val="24"/>
          <w:szCs w:val="24"/>
        </w:rPr>
        <w:t>RefSeq</w:t>
      </w:r>
      <w:proofErr w:type="spellEnd"/>
      <w:r w:rsidRPr="00DB3DAB">
        <w:rPr>
          <w:rFonts w:ascii="Times New Roman" w:hAnsi="Times New Roman" w:cs="Times New Roman"/>
          <w:sz w:val="24"/>
          <w:szCs w:val="24"/>
        </w:rPr>
        <w:t xml:space="preserve"> v1.0. The dashed red line represents the LD population threshold of 0.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DB3DAB">
        <w:rPr>
          <w:rFonts w:ascii="Times New Roman" w:hAnsi="Times New Roman" w:cs="Times New Roman"/>
          <w:sz w:val="24"/>
          <w:szCs w:val="24"/>
        </w:rPr>
        <w:t>.</w:t>
      </w:r>
    </w:p>
    <w:p w14:paraId="71E16D68" w14:textId="702F3294" w:rsidR="00B32813" w:rsidRDefault="00B32813"/>
    <w:p w14:paraId="5DB44516" w14:textId="03FA4364" w:rsidR="00B32813" w:rsidRDefault="004635F8">
      <w:r>
        <w:rPr>
          <w:noProof/>
        </w:rPr>
        <w:lastRenderedPageBreak/>
        <w:drawing>
          <wp:inline distT="0" distB="0" distL="0" distR="0" wp14:anchorId="32F806A8" wp14:editId="71A7AAF1">
            <wp:extent cx="8978991" cy="47434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2696" cy="4750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1A5A03" w14:textId="5FFC2A3C" w:rsidR="00B32813" w:rsidRDefault="00B32813"/>
    <w:p w14:paraId="67ED3775" w14:textId="77777777" w:rsidR="00B32813" w:rsidRDefault="00B32813"/>
    <w:p w14:paraId="3BF3D846" w14:textId="047F220F" w:rsidR="004206DA" w:rsidRDefault="00B32813">
      <w:r>
        <w:rPr>
          <w:noProof/>
        </w:rPr>
        <w:lastRenderedPageBreak/>
        <w:drawing>
          <wp:inline distT="0" distB="0" distL="0" distR="0" wp14:anchorId="59D24433" wp14:editId="2D85E3C1">
            <wp:extent cx="9032875" cy="4593267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5694" cy="4615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8D8E1E" w14:textId="46135CD0" w:rsidR="00B32813" w:rsidRPr="00476271" w:rsidRDefault="00B32813" w:rsidP="00B32813">
      <w:pPr>
        <w:rPr>
          <w:rFonts w:ascii="Times New Roman" w:hAnsi="Times New Roman" w:cs="Times New Roman"/>
          <w:sz w:val="24"/>
          <w:szCs w:val="24"/>
        </w:rPr>
        <w:sectPr w:rsidR="00B32813" w:rsidRPr="00476271" w:rsidSect="007164F9">
          <w:headerReference w:type="default" r:id="rId13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476271">
        <w:rPr>
          <w:rFonts w:ascii="Times New Roman" w:hAnsi="Times New Roman" w:cs="Times New Roman"/>
          <w:b/>
          <w:bCs/>
          <w:sz w:val="24"/>
          <w:szCs w:val="24"/>
        </w:rPr>
        <w:t>Supplementary Fig. S</w:t>
      </w:r>
      <w:r w:rsidR="00703D42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47627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76271">
        <w:rPr>
          <w:rFonts w:ascii="Times New Roman" w:hAnsi="Times New Roman" w:cs="Times New Roman"/>
          <w:sz w:val="24"/>
          <w:szCs w:val="24"/>
        </w:rPr>
        <w:t xml:space="preserve"> Quantile-Quantile plots of the expected -log</w:t>
      </w:r>
      <w:r w:rsidRPr="00476271">
        <w:rPr>
          <w:rFonts w:ascii="Times New Roman" w:hAnsi="Times New Roman" w:cs="Times New Roman"/>
          <w:sz w:val="24"/>
          <w:szCs w:val="24"/>
          <w:vertAlign w:val="subscript"/>
        </w:rPr>
        <w:t xml:space="preserve">10 </w:t>
      </w:r>
      <w:r w:rsidRPr="00476271">
        <w:rPr>
          <w:rFonts w:ascii="Times New Roman" w:hAnsi="Times New Roman" w:cs="Times New Roman"/>
          <w:sz w:val="24"/>
          <w:szCs w:val="24"/>
        </w:rPr>
        <w:t>(</w:t>
      </w:r>
      <w:r w:rsidRPr="0047627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476271">
        <w:rPr>
          <w:rFonts w:ascii="Times New Roman" w:hAnsi="Times New Roman" w:cs="Times New Roman"/>
          <w:sz w:val="24"/>
          <w:szCs w:val="24"/>
        </w:rPr>
        <w:t>) versus the observed -log</w:t>
      </w:r>
      <w:r w:rsidRPr="00476271">
        <w:rPr>
          <w:rFonts w:ascii="Times New Roman" w:hAnsi="Times New Roman" w:cs="Times New Roman"/>
          <w:sz w:val="24"/>
          <w:szCs w:val="24"/>
          <w:vertAlign w:val="subscript"/>
        </w:rPr>
        <w:t xml:space="preserve">10 </w:t>
      </w:r>
      <w:r w:rsidRPr="00476271">
        <w:rPr>
          <w:rFonts w:ascii="Times New Roman" w:hAnsi="Times New Roman" w:cs="Times New Roman"/>
          <w:sz w:val="24"/>
          <w:szCs w:val="24"/>
        </w:rPr>
        <w:t>(</w:t>
      </w:r>
      <w:r w:rsidRPr="0047627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476271">
        <w:rPr>
          <w:rFonts w:ascii="Times New Roman" w:hAnsi="Times New Roman" w:cs="Times New Roman"/>
          <w:sz w:val="24"/>
          <w:szCs w:val="24"/>
        </w:rPr>
        <w:t>) for association mapping model MLM for the 14 end-use quality traits.</w:t>
      </w:r>
    </w:p>
    <w:p w14:paraId="615F9392" w14:textId="77777777" w:rsidR="00B32813" w:rsidRDefault="00B32813"/>
    <w:p w14:paraId="286E7280" w14:textId="3D8332D3" w:rsidR="004206DA" w:rsidRDefault="004206DA"/>
    <w:p w14:paraId="6D41AD6E" w14:textId="3817AAFA" w:rsidR="00B32813" w:rsidRDefault="00B32813">
      <w:r>
        <w:rPr>
          <w:noProof/>
        </w:rPr>
        <w:drawing>
          <wp:inline distT="0" distB="0" distL="0" distR="0" wp14:anchorId="3906258B" wp14:editId="16DA5FEE">
            <wp:extent cx="9002395" cy="4705400"/>
            <wp:effectExtent l="0" t="0" r="825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6246" cy="47230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C57D70" w14:textId="706A1411" w:rsidR="00B32813" w:rsidRDefault="00B32813"/>
    <w:p w14:paraId="3090BCF9" w14:textId="3BAE6C68" w:rsidR="00B32813" w:rsidRDefault="00B32813"/>
    <w:p w14:paraId="2D81A45B" w14:textId="7A8A8A04" w:rsidR="00B32813" w:rsidRDefault="00B32813">
      <w:r>
        <w:rPr>
          <w:noProof/>
        </w:rPr>
        <w:lastRenderedPageBreak/>
        <w:drawing>
          <wp:inline distT="0" distB="0" distL="0" distR="0" wp14:anchorId="3652EFE6" wp14:editId="624FCAC5">
            <wp:extent cx="9010650" cy="4624594"/>
            <wp:effectExtent l="0" t="0" r="0" b="508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0663" cy="46605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283194" w14:textId="754B015B" w:rsidR="00B32813" w:rsidRDefault="00B32813" w:rsidP="00B32813">
      <w:pPr>
        <w:rPr>
          <w:rFonts w:ascii="Times New Roman" w:hAnsi="Times New Roman" w:cs="Times New Roman"/>
          <w:sz w:val="24"/>
          <w:szCs w:val="24"/>
        </w:rPr>
      </w:pPr>
      <w:bookmarkStart w:id="1" w:name="_Hlk69908032"/>
      <w:r w:rsidRPr="00D171E9">
        <w:rPr>
          <w:rFonts w:ascii="Times New Roman" w:hAnsi="Times New Roman" w:cs="Times New Roman"/>
          <w:b/>
          <w:bCs/>
          <w:sz w:val="24"/>
          <w:szCs w:val="24"/>
        </w:rPr>
        <w:t>Supplementary Fig. S</w:t>
      </w:r>
      <w:r w:rsidR="00703D42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D171E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171E9">
        <w:rPr>
          <w:rFonts w:ascii="Times New Roman" w:hAnsi="Times New Roman" w:cs="Times New Roman"/>
          <w:sz w:val="24"/>
          <w:szCs w:val="24"/>
        </w:rPr>
        <w:t xml:space="preserve"> Quantile-Quantile plots of the expected -log</w:t>
      </w:r>
      <w:r w:rsidRPr="004635F8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Pr="00D171E9">
        <w:rPr>
          <w:rFonts w:ascii="Times New Roman" w:hAnsi="Times New Roman" w:cs="Times New Roman"/>
          <w:sz w:val="24"/>
          <w:szCs w:val="24"/>
        </w:rPr>
        <w:t xml:space="preserve"> (</w:t>
      </w:r>
      <w:r w:rsidRPr="00D171E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D171E9">
        <w:rPr>
          <w:rFonts w:ascii="Times New Roman" w:hAnsi="Times New Roman" w:cs="Times New Roman"/>
          <w:sz w:val="24"/>
          <w:szCs w:val="24"/>
        </w:rPr>
        <w:t>) versus the observed -log</w:t>
      </w:r>
      <w:r w:rsidRPr="004635F8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Pr="00D171E9">
        <w:rPr>
          <w:rFonts w:ascii="Times New Roman" w:hAnsi="Times New Roman" w:cs="Times New Roman"/>
          <w:sz w:val="24"/>
          <w:szCs w:val="24"/>
        </w:rPr>
        <w:t xml:space="preserve"> (</w:t>
      </w:r>
      <w:r w:rsidRPr="00D171E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D171E9">
        <w:rPr>
          <w:rFonts w:ascii="Times New Roman" w:hAnsi="Times New Roman" w:cs="Times New Roman"/>
          <w:sz w:val="24"/>
          <w:szCs w:val="24"/>
        </w:rPr>
        <w:t>) for association mapping model FarmCPU for the 14 end-use quality traits</w:t>
      </w:r>
    </w:p>
    <w:bookmarkEnd w:id="1"/>
    <w:p w14:paraId="69F465E8" w14:textId="77777777" w:rsidR="0051357A" w:rsidRDefault="0051357A" w:rsidP="00B32813">
      <w:pPr>
        <w:rPr>
          <w:rFonts w:ascii="Times New Roman" w:hAnsi="Times New Roman" w:cs="Times New Roman"/>
          <w:sz w:val="24"/>
          <w:szCs w:val="24"/>
        </w:rPr>
      </w:pPr>
    </w:p>
    <w:p w14:paraId="0BC6D614" w14:textId="77777777" w:rsidR="0051357A" w:rsidRDefault="0051357A" w:rsidP="00B32813">
      <w:pPr>
        <w:rPr>
          <w:rFonts w:ascii="Times New Roman" w:hAnsi="Times New Roman" w:cs="Times New Roman"/>
          <w:sz w:val="24"/>
          <w:szCs w:val="24"/>
        </w:rPr>
      </w:pPr>
    </w:p>
    <w:p w14:paraId="78E3A083" w14:textId="14D50598" w:rsidR="0051357A" w:rsidRDefault="0051357A" w:rsidP="00B328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0ED10B7" wp14:editId="474DF5A1">
            <wp:extent cx="8960806" cy="4619588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8497" cy="4659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446578" w14:textId="74EC1FF3" w:rsidR="0051357A" w:rsidRDefault="0051357A" w:rsidP="00B32813">
      <w:pPr>
        <w:rPr>
          <w:rFonts w:ascii="Times New Roman" w:hAnsi="Times New Roman" w:cs="Times New Roman"/>
          <w:sz w:val="24"/>
          <w:szCs w:val="24"/>
        </w:rPr>
      </w:pPr>
    </w:p>
    <w:p w14:paraId="2192A89D" w14:textId="125B41EA" w:rsidR="0051357A" w:rsidRDefault="0051357A" w:rsidP="00B32813">
      <w:pPr>
        <w:rPr>
          <w:rFonts w:ascii="Times New Roman" w:hAnsi="Times New Roman" w:cs="Times New Roman"/>
          <w:sz w:val="24"/>
          <w:szCs w:val="24"/>
        </w:rPr>
      </w:pPr>
    </w:p>
    <w:p w14:paraId="51FC6E4C" w14:textId="5C202D9A" w:rsidR="0051357A" w:rsidRDefault="0051357A" w:rsidP="00B32813">
      <w:pPr>
        <w:rPr>
          <w:rFonts w:ascii="Times New Roman" w:hAnsi="Times New Roman" w:cs="Times New Roman"/>
          <w:sz w:val="24"/>
          <w:szCs w:val="24"/>
        </w:rPr>
      </w:pPr>
    </w:p>
    <w:p w14:paraId="59825E89" w14:textId="77777777" w:rsidR="0051357A" w:rsidRDefault="0051357A" w:rsidP="00B32813">
      <w:pPr>
        <w:rPr>
          <w:rFonts w:ascii="Times New Roman" w:hAnsi="Times New Roman" w:cs="Times New Roman"/>
          <w:sz w:val="24"/>
          <w:szCs w:val="24"/>
        </w:rPr>
      </w:pPr>
    </w:p>
    <w:p w14:paraId="24BEC630" w14:textId="77777777" w:rsidR="0051357A" w:rsidRDefault="0051357A" w:rsidP="00B32813">
      <w:pPr>
        <w:rPr>
          <w:rFonts w:ascii="Times New Roman" w:hAnsi="Times New Roman" w:cs="Times New Roman"/>
          <w:sz w:val="24"/>
          <w:szCs w:val="24"/>
        </w:rPr>
      </w:pPr>
    </w:p>
    <w:p w14:paraId="444910E8" w14:textId="1F8ECB01" w:rsidR="0051357A" w:rsidRDefault="0051357A" w:rsidP="00B328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F4720C0" wp14:editId="2CF595D4">
            <wp:extent cx="9004721" cy="4610100"/>
            <wp:effectExtent l="0" t="0" r="635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6114" cy="46466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03130F" w14:textId="3FF94492" w:rsidR="0051357A" w:rsidRDefault="0051357A" w:rsidP="00B32813">
      <w:pPr>
        <w:rPr>
          <w:rFonts w:ascii="Times New Roman" w:hAnsi="Times New Roman" w:cs="Times New Roman"/>
          <w:sz w:val="24"/>
          <w:szCs w:val="24"/>
        </w:rPr>
      </w:pPr>
      <w:r w:rsidRPr="00D171E9">
        <w:rPr>
          <w:rFonts w:ascii="Times New Roman" w:hAnsi="Times New Roman" w:cs="Times New Roman"/>
          <w:b/>
          <w:bCs/>
          <w:sz w:val="24"/>
          <w:szCs w:val="24"/>
        </w:rPr>
        <w:t>Supplementary Fig. S</w:t>
      </w:r>
      <w:r w:rsidR="00703D42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D171E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171E9">
        <w:rPr>
          <w:rFonts w:ascii="Times New Roman" w:hAnsi="Times New Roman" w:cs="Times New Roman"/>
          <w:sz w:val="24"/>
          <w:szCs w:val="24"/>
        </w:rPr>
        <w:t xml:space="preserve"> Quantile-Quantile plots of the expected -log</w:t>
      </w:r>
      <w:r w:rsidRPr="0051357A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Pr="00D171E9">
        <w:rPr>
          <w:rFonts w:ascii="Times New Roman" w:hAnsi="Times New Roman" w:cs="Times New Roman"/>
          <w:sz w:val="24"/>
          <w:szCs w:val="24"/>
        </w:rPr>
        <w:t xml:space="preserve"> (</w:t>
      </w:r>
      <w:r w:rsidRPr="00D171E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D171E9">
        <w:rPr>
          <w:rFonts w:ascii="Times New Roman" w:hAnsi="Times New Roman" w:cs="Times New Roman"/>
          <w:sz w:val="24"/>
          <w:szCs w:val="24"/>
        </w:rPr>
        <w:t>) versus the observed -log</w:t>
      </w:r>
      <w:r w:rsidRPr="004635F8">
        <w:rPr>
          <w:rFonts w:ascii="Times New Roman" w:hAnsi="Times New Roman" w:cs="Times New Roman"/>
          <w:sz w:val="24"/>
          <w:szCs w:val="24"/>
          <w:vertAlign w:val="subscript"/>
        </w:rPr>
        <w:t xml:space="preserve">10 </w:t>
      </w:r>
      <w:r w:rsidRPr="00D171E9">
        <w:rPr>
          <w:rFonts w:ascii="Times New Roman" w:hAnsi="Times New Roman" w:cs="Times New Roman"/>
          <w:sz w:val="24"/>
          <w:szCs w:val="24"/>
        </w:rPr>
        <w:t>(</w:t>
      </w:r>
      <w:r w:rsidRPr="00D171E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D171E9">
        <w:rPr>
          <w:rFonts w:ascii="Times New Roman" w:hAnsi="Times New Roman" w:cs="Times New Roman"/>
          <w:sz w:val="24"/>
          <w:szCs w:val="24"/>
        </w:rPr>
        <w:t xml:space="preserve">) for association mapping model </w:t>
      </w:r>
      <w:r>
        <w:rPr>
          <w:rFonts w:ascii="Times New Roman" w:hAnsi="Times New Roman" w:cs="Times New Roman"/>
          <w:sz w:val="24"/>
          <w:szCs w:val="24"/>
        </w:rPr>
        <w:t xml:space="preserve">BLINK </w:t>
      </w:r>
      <w:r w:rsidRPr="00D171E9">
        <w:rPr>
          <w:rFonts w:ascii="Times New Roman" w:hAnsi="Times New Roman" w:cs="Times New Roman"/>
          <w:sz w:val="24"/>
          <w:szCs w:val="24"/>
        </w:rPr>
        <w:t>for the 14 end-use quality traits</w:t>
      </w:r>
      <w:r w:rsidR="00476271">
        <w:rPr>
          <w:rFonts w:ascii="Times New Roman" w:hAnsi="Times New Roman" w:cs="Times New Roman"/>
          <w:sz w:val="24"/>
          <w:szCs w:val="24"/>
        </w:rPr>
        <w:t>.</w:t>
      </w:r>
    </w:p>
    <w:p w14:paraId="58C85E65" w14:textId="19DA1BDD" w:rsidR="00703D42" w:rsidRDefault="00703D42" w:rsidP="00B32813">
      <w:pPr>
        <w:rPr>
          <w:rFonts w:ascii="Times New Roman" w:hAnsi="Times New Roman" w:cs="Times New Roman"/>
          <w:sz w:val="24"/>
          <w:szCs w:val="24"/>
        </w:rPr>
      </w:pPr>
    </w:p>
    <w:p w14:paraId="14E45833" w14:textId="77777777" w:rsidR="00703D42" w:rsidRDefault="00703D42" w:rsidP="00703D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DFF3D94" wp14:editId="73EA485B">
            <wp:extent cx="9170781" cy="4819650"/>
            <wp:effectExtent l="0" t="0" r="0" b="0"/>
            <wp:docPr id="1" name="Picture 1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6213" cy="48487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184BCF" w14:textId="77777777" w:rsidR="00703D42" w:rsidRDefault="00703D42" w:rsidP="00703D42">
      <w:pPr>
        <w:rPr>
          <w:rFonts w:ascii="Times New Roman" w:hAnsi="Times New Roman" w:cs="Times New Roman"/>
          <w:sz w:val="24"/>
          <w:szCs w:val="24"/>
        </w:rPr>
      </w:pPr>
    </w:p>
    <w:p w14:paraId="1A210F48" w14:textId="77777777" w:rsidR="00703D42" w:rsidRDefault="00703D42" w:rsidP="00703D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DE6B2FB" wp14:editId="166D44FE">
            <wp:extent cx="9244306" cy="4857750"/>
            <wp:effectExtent l="0" t="0" r="0" b="0"/>
            <wp:docPr id="2" name="Picture 2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9283" cy="4876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53F0C9" w14:textId="77777777" w:rsidR="00703D42" w:rsidRDefault="00703D42" w:rsidP="00703D42">
      <w:pPr>
        <w:rPr>
          <w:rFonts w:ascii="Times New Roman" w:hAnsi="Times New Roman" w:cs="Times New Roman"/>
          <w:sz w:val="24"/>
          <w:szCs w:val="24"/>
        </w:rPr>
      </w:pPr>
    </w:p>
    <w:p w14:paraId="0C490845" w14:textId="77777777" w:rsidR="00703D42" w:rsidRDefault="00703D42" w:rsidP="00703D42">
      <w:pPr>
        <w:rPr>
          <w:rFonts w:ascii="Times New Roman" w:hAnsi="Times New Roman" w:cs="Times New Roman"/>
          <w:sz w:val="24"/>
          <w:szCs w:val="24"/>
        </w:rPr>
      </w:pPr>
    </w:p>
    <w:p w14:paraId="68CEE9D9" w14:textId="77777777" w:rsidR="00703D42" w:rsidRDefault="00703D42" w:rsidP="00703D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8FC76D9" wp14:editId="086853FA">
            <wp:extent cx="9143923" cy="1552575"/>
            <wp:effectExtent l="0" t="0" r="635" b="0"/>
            <wp:docPr id="4" name="Picture 4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application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7740"/>
                    <a:stretch/>
                  </pic:blipFill>
                  <pic:spPr bwMode="auto">
                    <a:xfrm>
                      <a:off x="0" y="0"/>
                      <a:ext cx="9194591" cy="1561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EE2AAB" w14:textId="4C3168F0" w:rsidR="00703D42" w:rsidRDefault="00703D42" w:rsidP="00703D42">
      <w:pPr>
        <w:rPr>
          <w:rFonts w:ascii="Times New Roman" w:hAnsi="Times New Roman" w:cs="Times New Roman"/>
          <w:sz w:val="24"/>
          <w:szCs w:val="24"/>
        </w:rPr>
      </w:pPr>
      <w:r w:rsidRPr="00703D42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703D4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15069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24"/>
        </w:rPr>
        <w:t>S6</w:t>
      </w:r>
      <w:r w:rsidRPr="0051506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15069">
        <w:rPr>
          <w:rFonts w:ascii="Times New Roman" w:hAnsi="Times New Roman" w:cs="Times New Roman"/>
          <w:sz w:val="24"/>
          <w:szCs w:val="24"/>
        </w:rPr>
        <w:t xml:space="preserve"> Summary of genome-wide association studies for </w:t>
      </w:r>
      <w:r>
        <w:rPr>
          <w:rFonts w:ascii="Times New Roman" w:hAnsi="Times New Roman" w:cs="Times New Roman"/>
          <w:sz w:val="24"/>
          <w:szCs w:val="24"/>
        </w:rPr>
        <w:t>14 end-use quality traits</w:t>
      </w:r>
      <w:r w:rsidRPr="00515069">
        <w:rPr>
          <w:rFonts w:ascii="Times New Roman" w:hAnsi="Times New Roman" w:cs="Times New Roman"/>
          <w:sz w:val="24"/>
          <w:szCs w:val="24"/>
        </w:rPr>
        <w:t xml:space="preserve"> in </w:t>
      </w:r>
      <w:r>
        <w:rPr>
          <w:rFonts w:ascii="Times New Roman" w:hAnsi="Times New Roman" w:cs="Times New Roman"/>
          <w:sz w:val="24"/>
          <w:szCs w:val="24"/>
        </w:rPr>
        <w:t xml:space="preserve">672 </w:t>
      </w:r>
      <w:r w:rsidRPr="00515069">
        <w:rPr>
          <w:rFonts w:ascii="Times New Roman" w:hAnsi="Times New Roman" w:cs="Times New Roman"/>
          <w:sz w:val="24"/>
          <w:szCs w:val="24"/>
        </w:rPr>
        <w:t>soft winter wheat</w:t>
      </w:r>
      <w:r>
        <w:rPr>
          <w:rFonts w:ascii="Times New Roman" w:hAnsi="Times New Roman" w:cs="Times New Roman"/>
          <w:sz w:val="24"/>
          <w:szCs w:val="24"/>
        </w:rPr>
        <w:t xml:space="preserve"> genotypes based on </w:t>
      </w:r>
      <w:r w:rsidRPr="00515069">
        <w:rPr>
          <w:rFonts w:ascii="Times New Roman" w:hAnsi="Times New Roman" w:cs="Times New Roman"/>
          <w:sz w:val="24"/>
          <w:szCs w:val="24"/>
        </w:rPr>
        <w:t xml:space="preserve">Fixed and random model Circulating Probability Unification </w:t>
      </w:r>
      <w:r>
        <w:rPr>
          <w:rFonts w:ascii="Times New Roman" w:hAnsi="Times New Roman" w:cs="Times New Roman"/>
          <w:sz w:val="24"/>
          <w:szCs w:val="24"/>
        </w:rPr>
        <w:t>model</w:t>
      </w:r>
      <w:r w:rsidRPr="00515069">
        <w:rPr>
          <w:rFonts w:ascii="Times New Roman" w:hAnsi="Times New Roman" w:cs="Times New Roman"/>
          <w:sz w:val="24"/>
          <w:szCs w:val="24"/>
        </w:rPr>
        <w:t>. The horizontal red line indicates significance level at FDR ≤ 0.</w:t>
      </w:r>
      <w:r>
        <w:rPr>
          <w:rFonts w:ascii="Times New Roman" w:hAnsi="Times New Roman" w:cs="Times New Roman"/>
          <w:sz w:val="24"/>
          <w:szCs w:val="24"/>
        </w:rPr>
        <w:t>05.</w:t>
      </w:r>
    </w:p>
    <w:p w14:paraId="1FE7DBCF" w14:textId="77777777" w:rsidR="00703D42" w:rsidRDefault="00703D42" w:rsidP="00703D42">
      <w:pPr>
        <w:rPr>
          <w:rFonts w:ascii="Times New Roman" w:hAnsi="Times New Roman" w:cs="Times New Roman"/>
          <w:sz w:val="24"/>
          <w:szCs w:val="24"/>
        </w:rPr>
      </w:pPr>
    </w:p>
    <w:p w14:paraId="1CE84714" w14:textId="77777777" w:rsidR="00703D42" w:rsidRDefault="00703D42" w:rsidP="00703D42">
      <w:pPr>
        <w:rPr>
          <w:rFonts w:ascii="Times New Roman" w:hAnsi="Times New Roman" w:cs="Times New Roman"/>
          <w:sz w:val="24"/>
          <w:szCs w:val="24"/>
        </w:rPr>
      </w:pPr>
    </w:p>
    <w:p w14:paraId="15FB8A8F" w14:textId="77777777" w:rsidR="00703D42" w:rsidRDefault="00703D42" w:rsidP="00703D42"/>
    <w:p w14:paraId="5F6BB896" w14:textId="77777777" w:rsidR="00703D42" w:rsidRDefault="00703D42" w:rsidP="00B32813">
      <w:pPr>
        <w:rPr>
          <w:rFonts w:ascii="Times New Roman" w:hAnsi="Times New Roman" w:cs="Times New Roman"/>
          <w:sz w:val="24"/>
          <w:szCs w:val="24"/>
        </w:rPr>
      </w:pPr>
    </w:p>
    <w:p w14:paraId="3FFB18EA" w14:textId="77777777" w:rsidR="00B32813" w:rsidRPr="000D2FD2" w:rsidRDefault="00B32813" w:rsidP="00476271"/>
    <w:sectPr w:rsidR="00B32813" w:rsidRPr="000D2FD2" w:rsidSect="004206DA">
      <w:headerReference w:type="default" r:id="rId21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DBACD1" w14:textId="77777777" w:rsidR="007164F9" w:rsidRDefault="007164F9">
      <w:pPr>
        <w:spacing w:after="0" w:line="240" w:lineRule="auto"/>
      </w:pPr>
      <w:r>
        <w:separator/>
      </w:r>
    </w:p>
  </w:endnote>
  <w:endnote w:type="continuationSeparator" w:id="0">
    <w:p w14:paraId="76608A15" w14:textId="77777777" w:rsidR="007164F9" w:rsidRDefault="007164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014232" w14:textId="77777777" w:rsidR="007164F9" w:rsidRDefault="007164F9">
      <w:pPr>
        <w:spacing w:after="0" w:line="240" w:lineRule="auto"/>
      </w:pPr>
      <w:r>
        <w:separator/>
      </w:r>
    </w:p>
  </w:footnote>
  <w:footnote w:type="continuationSeparator" w:id="0">
    <w:p w14:paraId="3A48AA51" w14:textId="77777777" w:rsidR="007164F9" w:rsidRDefault="007164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91F4A7" w14:textId="77777777" w:rsidR="00B32813" w:rsidRDefault="00B3281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624DE4" w14:textId="77777777" w:rsidR="00B32813" w:rsidRDefault="00B3281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041"/>
    <w:rsid w:val="000C41C0"/>
    <w:rsid w:val="000D2FD2"/>
    <w:rsid w:val="00266BB1"/>
    <w:rsid w:val="0036587B"/>
    <w:rsid w:val="003F6621"/>
    <w:rsid w:val="004206DA"/>
    <w:rsid w:val="004635F8"/>
    <w:rsid w:val="00472644"/>
    <w:rsid w:val="00476271"/>
    <w:rsid w:val="0047776F"/>
    <w:rsid w:val="0051357A"/>
    <w:rsid w:val="005F798B"/>
    <w:rsid w:val="006A1BBB"/>
    <w:rsid w:val="006B3C79"/>
    <w:rsid w:val="006B6881"/>
    <w:rsid w:val="00703D42"/>
    <w:rsid w:val="007164F9"/>
    <w:rsid w:val="00A344F7"/>
    <w:rsid w:val="00B32813"/>
    <w:rsid w:val="00C90041"/>
    <w:rsid w:val="00DB0F40"/>
    <w:rsid w:val="00E00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AD99A"/>
  <w15:chartTrackingRefBased/>
  <w15:docId w15:val="{4756E422-5B70-47C6-95B7-5A9E27CAD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28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2813"/>
  </w:style>
  <w:style w:type="character" w:styleId="Hyperlink">
    <w:name w:val="Hyperlink"/>
    <w:basedOn w:val="DefaultParagraphFont"/>
    <w:uiPriority w:val="99"/>
    <w:unhideWhenUsed/>
    <w:rsid w:val="000D2FD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D2F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731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image" Target="media/image9.png"/><Relationship Id="rId3" Type="http://schemas.openxmlformats.org/officeDocument/2006/relationships/customXml" Target="../customXml/item3.xml"/><Relationship Id="rId21" Type="http://schemas.openxmlformats.org/officeDocument/2006/relationships/header" Target="header2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8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0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AD0A34C9E0EE439F9EFA54418D0334" ma:contentTypeVersion="7" ma:contentTypeDescription="Create a new document." ma:contentTypeScope="" ma:versionID="f854d234cb6e2f1ef88c8130722c203e">
  <xsd:schema xmlns:xsd="http://www.w3.org/2001/XMLSchema" xmlns:xs="http://www.w3.org/2001/XMLSchema" xmlns:p="http://schemas.microsoft.com/office/2006/metadata/properties" xmlns:ns3="4effc39a-44cd-454e-b40d-49dd2f832c95" xmlns:ns4="3c737ebb-1183-4820-b7c6-ea41021eacbe" targetNamespace="http://schemas.microsoft.com/office/2006/metadata/properties" ma:root="true" ma:fieldsID="a46d3fef8fb341f33dedd165f06037b6" ns3:_="" ns4:_="">
    <xsd:import namespace="4effc39a-44cd-454e-b40d-49dd2f832c95"/>
    <xsd:import namespace="3c737ebb-1183-4820-b7c6-ea41021eacb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ffc39a-44cd-454e-b40d-49dd2f832c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737ebb-1183-4820-b7c6-ea41021eacb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7C57F2E-263E-48D8-AD20-BF5AAC3C8631}">
  <ds:schemaRefs>
    <ds:schemaRef ds:uri="http://schemas.openxmlformats.org/package/2006/metadata/core-properties"/>
    <ds:schemaRef ds:uri="http://www.w3.org/XML/1998/namespace"/>
    <ds:schemaRef ds:uri="http://schemas.microsoft.com/office/2006/metadata/properties"/>
    <ds:schemaRef ds:uri="http://purl.org/dc/terms/"/>
    <ds:schemaRef ds:uri="http://schemas.microsoft.com/office/infopath/2007/PartnerControls"/>
    <ds:schemaRef ds:uri="http://purl.org/dc/dcmitype/"/>
    <ds:schemaRef ds:uri="4effc39a-44cd-454e-b40d-49dd2f832c95"/>
    <ds:schemaRef ds:uri="http://schemas.microsoft.com/office/2006/documentManagement/types"/>
    <ds:schemaRef ds:uri="3c737ebb-1183-4820-b7c6-ea41021eacbe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3D31A7E5-8B47-4CFB-97A2-FACF39C01A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effc39a-44cd-454e-b40d-49dd2f832c95"/>
    <ds:schemaRef ds:uri="3c737ebb-1183-4820-b7c6-ea41021eac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781143B-6D4A-4660-A0AD-C561D7FE9A1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Aoun, Meriem</dc:creator>
  <cp:keywords/>
  <dc:description/>
  <cp:lastModifiedBy>Aoun, Meriem</cp:lastModifiedBy>
  <cp:revision>2</cp:revision>
  <dcterms:created xsi:type="dcterms:W3CDTF">2021-07-31T19:44:00Z</dcterms:created>
  <dcterms:modified xsi:type="dcterms:W3CDTF">2021-07-31T19:44:00Z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0x01010056AD0A34C9E0EE439F9EFA54418D0334</vt:lpwstr>
  </property>
</Properties>
</file>