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D67B" w14:textId="77777777" w:rsidR="005103E9" w:rsidRDefault="005103E9" w:rsidP="005103E9">
      <w:pPr>
        <w:rPr>
          <w:rFonts w:ascii="Arial" w:hAnsi="Arial" w:cs="Arial"/>
          <w:b/>
          <w:bCs/>
          <w:sz w:val="20"/>
          <w:szCs w:val="20"/>
        </w:rPr>
      </w:pPr>
      <w:r>
        <w:rPr>
          <w:rFonts w:ascii="Arial" w:hAnsi="Arial" w:cs="Arial"/>
          <w:b/>
          <w:bCs/>
          <w:sz w:val="20"/>
          <w:szCs w:val="20"/>
        </w:rPr>
        <w:t>Extended Data Figures</w:t>
      </w:r>
    </w:p>
    <w:p w14:paraId="0D0126D2" w14:textId="77777777" w:rsidR="005103E9" w:rsidRDefault="005103E9" w:rsidP="005103E9">
      <w:pPr>
        <w:rPr>
          <w:rFonts w:ascii="Arial" w:hAnsi="Arial" w:cs="Arial"/>
          <w:sz w:val="20"/>
        </w:rPr>
      </w:pPr>
    </w:p>
    <w:p w14:paraId="003AFC9E" w14:textId="77777777" w:rsidR="005103E9" w:rsidRDefault="005103E9" w:rsidP="005103E9">
      <w:pPr>
        <w:rPr>
          <w:rFonts w:ascii="Arial" w:hAnsi="Arial" w:cs="Arial"/>
          <w:sz w:val="20"/>
        </w:rPr>
      </w:pPr>
    </w:p>
    <w:p w14:paraId="71F9E0F5" w14:textId="77777777" w:rsidR="005103E9" w:rsidRPr="005A2042" w:rsidRDefault="005103E9" w:rsidP="005103E9">
      <w:pPr>
        <w:rPr>
          <w:rFonts w:ascii="Arial" w:hAnsi="Arial" w:cs="Arial"/>
          <w:b/>
          <w:bCs/>
          <w:sz w:val="20"/>
          <w:szCs w:val="20"/>
        </w:rPr>
      </w:pPr>
      <w:r>
        <w:rPr>
          <w:rFonts w:ascii="Arial" w:hAnsi="Arial" w:cs="Arial"/>
          <w:b/>
          <w:bCs/>
          <w:noProof/>
          <w:sz w:val="20"/>
          <w:szCs w:val="20"/>
          <w14:ligatures w14:val="standardContextual"/>
        </w:rPr>
        <w:drawing>
          <wp:inline distT="0" distB="0" distL="0" distR="0" wp14:anchorId="72FD603E" wp14:editId="6A0B567E">
            <wp:extent cx="5943600" cy="128102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281029"/>
                    </a:xfrm>
                    <a:prstGeom prst="rect">
                      <a:avLst/>
                    </a:prstGeom>
                  </pic:spPr>
                </pic:pic>
              </a:graphicData>
            </a:graphic>
          </wp:inline>
        </w:drawing>
      </w:r>
    </w:p>
    <w:p w14:paraId="1A38139D" w14:textId="77777777" w:rsidR="005103E9" w:rsidRDefault="005103E9" w:rsidP="005103E9">
      <w:pPr>
        <w:rPr>
          <w:rFonts w:ascii="Arial" w:hAnsi="Arial" w:cs="Arial"/>
          <w:sz w:val="20"/>
          <w:szCs w:val="20"/>
        </w:rPr>
      </w:pPr>
    </w:p>
    <w:p w14:paraId="74553297" w14:textId="77777777" w:rsidR="005103E9" w:rsidRPr="005565C7" w:rsidRDefault="005103E9" w:rsidP="005103E9">
      <w:pPr>
        <w:jc w:val="both"/>
        <w:rPr>
          <w:rFonts w:ascii="Arial" w:hAnsi="Arial" w:cs="Arial"/>
          <w:sz w:val="18"/>
          <w:szCs w:val="18"/>
        </w:rPr>
      </w:pPr>
      <w:r w:rsidRPr="005565C7">
        <w:rPr>
          <w:rFonts w:ascii="Arial" w:hAnsi="Arial" w:cs="Arial"/>
          <w:b/>
          <w:bCs/>
          <w:sz w:val="18"/>
          <w:szCs w:val="18"/>
        </w:rPr>
        <w:t>Extended Data Fig. 1</w:t>
      </w:r>
      <w:r>
        <w:rPr>
          <w:rStyle w:val="Strong"/>
          <w:rFonts w:ascii="Arial" w:eastAsiaTheme="majorEastAsia" w:hAnsi="Arial" w:cs="Arial"/>
          <w:color w:val="000000"/>
          <w:sz w:val="18"/>
          <w:szCs w:val="18"/>
        </w:rPr>
        <w:t xml:space="preserve"> | Spectral parameterization identifies prominent alpha activity in VC/VS recordings at the first recording session S1. </w:t>
      </w:r>
      <w:r w:rsidRPr="005565C7">
        <w:rPr>
          <w:rStyle w:val="Strong"/>
          <w:rFonts w:ascii="Arial" w:eastAsiaTheme="majorEastAsia" w:hAnsi="Arial" w:cs="Arial"/>
          <w:color w:val="000000"/>
          <w:sz w:val="18"/>
          <w:szCs w:val="18"/>
        </w:rPr>
        <w:t>A</w:t>
      </w:r>
      <w:r w:rsidRPr="005565C7">
        <w:rPr>
          <w:rFonts w:ascii="Arial" w:eastAsiaTheme="majorEastAsia" w:hAnsi="Arial" w:cs="Arial"/>
          <w:b/>
          <w:bCs/>
          <w:color w:val="000000"/>
          <w:sz w:val="18"/>
          <w:szCs w:val="18"/>
        </w:rPr>
        <w:t>, </w:t>
      </w:r>
      <w:r w:rsidRPr="005565C7">
        <w:rPr>
          <w:rFonts w:ascii="Arial" w:eastAsiaTheme="majorEastAsia" w:hAnsi="Arial" w:cs="Arial"/>
          <w:color w:val="000000"/>
          <w:sz w:val="18"/>
          <w:szCs w:val="18"/>
        </w:rPr>
        <w:t>Bootstrapped average (thick line, 10,000 iterations) and 95% confidence interval (shaded area) of absolute power spectral density (PSD, green) in the 2–35 Hz range (log–log scale). The alpha frequency range (7–14 Hz) is highlighted (N = 144 bipolar pairs across 24 hemispheres from 13 patients). </w:t>
      </w:r>
      <w:r w:rsidRPr="005565C7">
        <w:rPr>
          <w:rFonts w:ascii="Arial" w:eastAsiaTheme="majorEastAsia" w:hAnsi="Arial" w:cs="Arial"/>
          <w:b/>
          <w:bCs/>
          <w:color w:val="000000"/>
          <w:sz w:val="18"/>
          <w:szCs w:val="18"/>
        </w:rPr>
        <w:t>B,</w:t>
      </w:r>
      <w:r w:rsidRPr="005565C7">
        <w:rPr>
          <w:rFonts w:ascii="Arial" w:eastAsiaTheme="majorEastAsia" w:hAnsi="Arial" w:cs="Arial"/>
          <w:color w:val="000000"/>
          <w:sz w:val="18"/>
          <w:szCs w:val="18"/>
        </w:rPr>
        <w:t xml:space="preserve"> Same as in </w:t>
      </w:r>
      <w:r w:rsidRPr="005565C7">
        <w:rPr>
          <w:rFonts w:ascii="Arial" w:eastAsiaTheme="majorEastAsia" w:hAnsi="Arial" w:cs="Arial"/>
          <w:b/>
          <w:bCs/>
          <w:color w:val="000000"/>
          <w:sz w:val="18"/>
          <w:szCs w:val="18"/>
        </w:rPr>
        <w:t>A</w:t>
      </w:r>
      <w:r w:rsidRPr="005565C7">
        <w:rPr>
          <w:rFonts w:ascii="Arial" w:eastAsiaTheme="majorEastAsia" w:hAnsi="Arial" w:cs="Arial"/>
          <w:color w:val="000000"/>
          <w:sz w:val="18"/>
          <w:szCs w:val="18"/>
        </w:rPr>
        <w:t xml:space="preserve"> for periodic PSD (cyan) after removal of the aperiodic component. </w:t>
      </w:r>
      <w:r w:rsidRPr="00FD1F80">
        <w:rPr>
          <w:rFonts w:ascii="Arial" w:eastAsiaTheme="majorEastAsia" w:hAnsi="Arial" w:cs="Arial"/>
          <w:b/>
          <w:bCs/>
          <w:color w:val="000000"/>
          <w:sz w:val="18"/>
          <w:szCs w:val="18"/>
        </w:rPr>
        <w:t>C</w:t>
      </w:r>
      <w:r>
        <w:rPr>
          <w:rFonts w:ascii="Arial" w:eastAsiaTheme="majorEastAsia" w:hAnsi="Arial" w:cs="Arial"/>
          <w:color w:val="000000"/>
          <w:sz w:val="18"/>
          <w:szCs w:val="18"/>
        </w:rPr>
        <w:t>, The plot</w:t>
      </w:r>
      <w:r w:rsidRPr="005565C7">
        <w:rPr>
          <w:rFonts w:ascii="Arial" w:eastAsiaTheme="majorEastAsia" w:hAnsi="Arial" w:cs="Arial"/>
          <w:color w:val="000000"/>
          <w:sz w:val="18"/>
          <w:szCs w:val="18"/>
        </w:rPr>
        <w:t xml:space="preserve"> shows the distribution of oscillatory peaks identified by FOOOF (alpha, blue; beta, gray). </w:t>
      </w:r>
      <w:r>
        <w:rPr>
          <w:rFonts w:ascii="Arial" w:eastAsiaTheme="majorEastAsia" w:hAnsi="Arial" w:cs="Arial"/>
          <w:b/>
          <w:bCs/>
          <w:color w:val="000000"/>
          <w:sz w:val="18"/>
          <w:szCs w:val="18"/>
        </w:rPr>
        <w:t>C</w:t>
      </w:r>
      <w:r w:rsidRPr="005565C7">
        <w:rPr>
          <w:rFonts w:ascii="Arial" w:eastAsiaTheme="majorEastAsia" w:hAnsi="Arial" w:cs="Arial"/>
          <w:b/>
          <w:bCs/>
          <w:color w:val="000000"/>
          <w:sz w:val="18"/>
          <w:szCs w:val="18"/>
        </w:rPr>
        <w:t>,</w:t>
      </w:r>
      <w:r w:rsidRPr="005565C7">
        <w:rPr>
          <w:rFonts w:ascii="Arial" w:eastAsiaTheme="majorEastAsia" w:hAnsi="Arial" w:cs="Arial"/>
          <w:color w:val="000000"/>
          <w:sz w:val="18"/>
          <w:szCs w:val="18"/>
        </w:rPr>
        <w:t xml:space="preserve"> Same as in </w:t>
      </w:r>
      <w:r w:rsidRPr="005565C7">
        <w:rPr>
          <w:rFonts w:ascii="Arial" w:eastAsiaTheme="majorEastAsia" w:hAnsi="Arial" w:cs="Arial"/>
          <w:b/>
          <w:bCs/>
          <w:color w:val="000000"/>
          <w:sz w:val="18"/>
          <w:szCs w:val="18"/>
        </w:rPr>
        <w:t>A</w:t>
      </w:r>
      <w:r w:rsidRPr="005565C7">
        <w:rPr>
          <w:rFonts w:ascii="Arial" w:eastAsiaTheme="majorEastAsia" w:hAnsi="Arial" w:cs="Arial"/>
          <w:color w:val="000000"/>
          <w:sz w:val="18"/>
          <w:szCs w:val="18"/>
        </w:rPr>
        <w:t xml:space="preserve"> for periodic PSD aligned to the </w:t>
      </w:r>
      <w:r>
        <w:rPr>
          <w:rFonts w:ascii="Arial" w:eastAsiaTheme="majorEastAsia" w:hAnsi="Arial" w:cs="Arial"/>
          <w:color w:val="000000"/>
          <w:sz w:val="18"/>
          <w:szCs w:val="18"/>
        </w:rPr>
        <w:t>individual</w:t>
      </w:r>
      <w:r w:rsidRPr="005565C7">
        <w:rPr>
          <w:rFonts w:ascii="Arial" w:eastAsiaTheme="majorEastAsia" w:hAnsi="Arial" w:cs="Arial"/>
          <w:color w:val="000000"/>
          <w:sz w:val="18"/>
          <w:szCs w:val="18"/>
        </w:rPr>
        <w:t xml:space="preserve"> alpha</w:t>
      </w:r>
      <w:r>
        <w:rPr>
          <w:rFonts w:ascii="Arial" w:eastAsiaTheme="majorEastAsia" w:hAnsi="Arial" w:cs="Arial"/>
          <w:color w:val="000000"/>
          <w:sz w:val="18"/>
          <w:szCs w:val="18"/>
        </w:rPr>
        <w:t xml:space="preserve"> (blue)</w:t>
      </w:r>
      <w:r w:rsidRPr="005565C7">
        <w:rPr>
          <w:rFonts w:ascii="Arial" w:eastAsiaTheme="majorEastAsia" w:hAnsi="Arial" w:cs="Arial"/>
          <w:color w:val="000000"/>
          <w:sz w:val="18"/>
          <w:szCs w:val="18"/>
        </w:rPr>
        <w:t xml:space="preserve"> </w:t>
      </w:r>
      <w:r>
        <w:rPr>
          <w:rFonts w:ascii="Arial" w:eastAsiaTheme="majorEastAsia" w:hAnsi="Arial" w:cs="Arial"/>
          <w:color w:val="000000"/>
          <w:sz w:val="18"/>
          <w:szCs w:val="18"/>
        </w:rPr>
        <w:t xml:space="preserve">and beta (gray) </w:t>
      </w:r>
      <w:r w:rsidRPr="005565C7">
        <w:rPr>
          <w:rFonts w:ascii="Arial" w:eastAsiaTheme="majorEastAsia" w:hAnsi="Arial" w:cs="Arial"/>
          <w:color w:val="000000"/>
          <w:sz w:val="18"/>
          <w:szCs w:val="18"/>
        </w:rPr>
        <w:t xml:space="preserve">peak (−5 to +5 Hz window). </w:t>
      </w:r>
      <w:r>
        <w:rPr>
          <w:rFonts w:ascii="Arial" w:eastAsiaTheme="majorEastAsia" w:hAnsi="Arial" w:cs="Arial"/>
          <w:color w:val="000000"/>
          <w:sz w:val="18"/>
          <w:szCs w:val="18"/>
        </w:rPr>
        <w:t>Peak periodic p</w:t>
      </w:r>
      <w:r w:rsidRPr="005565C7">
        <w:rPr>
          <w:rFonts w:ascii="Arial" w:eastAsiaTheme="majorEastAsia" w:hAnsi="Arial" w:cs="Arial"/>
          <w:color w:val="000000"/>
          <w:sz w:val="18"/>
          <w:szCs w:val="18"/>
        </w:rPr>
        <w:t>ower was averaged within a ±</w:t>
      </w:r>
      <w:r>
        <w:rPr>
          <w:rFonts w:ascii="Arial" w:eastAsiaTheme="majorEastAsia" w:hAnsi="Arial" w:cs="Arial"/>
          <w:color w:val="000000"/>
          <w:sz w:val="18"/>
          <w:szCs w:val="18"/>
        </w:rPr>
        <w:t xml:space="preserve"> </w:t>
      </w:r>
      <w:r w:rsidRPr="005565C7">
        <w:rPr>
          <w:rFonts w:ascii="Arial" w:eastAsiaTheme="majorEastAsia" w:hAnsi="Arial" w:cs="Arial"/>
          <w:color w:val="000000"/>
          <w:sz w:val="18"/>
          <w:szCs w:val="18"/>
        </w:rPr>
        <w:t xml:space="preserve">2.5-Hz window around the </w:t>
      </w:r>
      <w:r>
        <w:rPr>
          <w:rFonts w:ascii="Arial" w:eastAsiaTheme="majorEastAsia" w:hAnsi="Arial" w:cs="Arial"/>
          <w:color w:val="000000"/>
          <w:sz w:val="18"/>
          <w:szCs w:val="18"/>
        </w:rPr>
        <w:t>individual</w:t>
      </w:r>
      <w:r w:rsidRPr="005565C7">
        <w:rPr>
          <w:rFonts w:ascii="Arial" w:eastAsiaTheme="majorEastAsia" w:hAnsi="Arial" w:cs="Arial"/>
          <w:color w:val="000000"/>
          <w:sz w:val="18"/>
          <w:szCs w:val="18"/>
        </w:rPr>
        <w:t xml:space="preserve"> alpha peak</w:t>
      </w:r>
      <w:r>
        <w:rPr>
          <w:rFonts w:ascii="Arial" w:eastAsiaTheme="majorEastAsia" w:hAnsi="Arial" w:cs="Arial"/>
          <w:color w:val="000000"/>
          <w:sz w:val="18"/>
          <w:szCs w:val="18"/>
        </w:rPr>
        <w:t>.</w:t>
      </w:r>
    </w:p>
    <w:p w14:paraId="0382D2C8" w14:textId="77777777" w:rsidR="005103E9" w:rsidRPr="005A2042" w:rsidRDefault="005103E9" w:rsidP="005103E9">
      <w:pPr>
        <w:rPr>
          <w:rFonts w:ascii="Arial" w:hAnsi="Arial" w:cs="Arial"/>
          <w:sz w:val="20"/>
          <w:szCs w:val="20"/>
        </w:rPr>
      </w:pPr>
    </w:p>
    <w:p w14:paraId="4CDCE2F3" w14:textId="77777777" w:rsidR="005103E9" w:rsidRDefault="005103E9" w:rsidP="005103E9">
      <w:pPr>
        <w:rPr>
          <w:rFonts w:ascii="Arial" w:hAnsi="Arial" w:cs="Arial"/>
          <w:sz w:val="20"/>
          <w:szCs w:val="20"/>
        </w:rPr>
      </w:pPr>
    </w:p>
    <w:p w14:paraId="50FB6921" w14:textId="77777777" w:rsidR="005103E9" w:rsidRDefault="005103E9" w:rsidP="005103E9">
      <w:pPr>
        <w:rPr>
          <w:rFonts w:ascii="Arial" w:hAnsi="Arial" w:cs="Arial"/>
          <w:sz w:val="20"/>
          <w:szCs w:val="20"/>
        </w:rPr>
      </w:pPr>
    </w:p>
    <w:p w14:paraId="57FD038F" w14:textId="77777777" w:rsidR="005103E9" w:rsidRDefault="005103E9" w:rsidP="005103E9">
      <w:pPr>
        <w:rPr>
          <w:rFonts w:ascii="Arial" w:hAnsi="Arial" w:cs="Arial"/>
          <w:sz w:val="20"/>
          <w:szCs w:val="20"/>
        </w:rPr>
      </w:pPr>
    </w:p>
    <w:p w14:paraId="207E665C" w14:textId="77777777" w:rsidR="005103E9" w:rsidRPr="005A2042" w:rsidRDefault="005103E9" w:rsidP="005103E9">
      <w:pPr>
        <w:rPr>
          <w:rFonts w:ascii="Arial" w:hAnsi="Arial" w:cs="Arial"/>
          <w:sz w:val="20"/>
          <w:szCs w:val="20"/>
        </w:rPr>
      </w:pPr>
    </w:p>
    <w:p w14:paraId="2C298FFF" w14:textId="77777777" w:rsidR="005103E9" w:rsidRPr="005A2042" w:rsidRDefault="005103E9" w:rsidP="005103E9">
      <w:pPr>
        <w:rPr>
          <w:rFonts w:ascii="Arial" w:hAnsi="Arial" w:cs="Arial"/>
          <w:sz w:val="20"/>
          <w:szCs w:val="20"/>
        </w:rPr>
      </w:pPr>
    </w:p>
    <w:p w14:paraId="5185E26E" w14:textId="77777777" w:rsidR="005103E9" w:rsidRPr="005A2042" w:rsidRDefault="005103E9" w:rsidP="005103E9">
      <w:pPr>
        <w:rPr>
          <w:rFonts w:ascii="Arial" w:hAnsi="Arial" w:cs="Arial"/>
          <w:sz w:val="20"/>
          <w:szCs w:val="20"/>
        </w:rPr>
      </w:pPr>
    </w:p>
    <w:p w14:paraId="184C8A07" w14:textId="77777777" w:rsidR="005103E9" w:rsidRDefault="005103E9" w:rsidP="005103E9">
      <w:pPr>
        <w:rPr>
          <w:rFonts w:ascii="Arial" w:hAnsi="Arial" w:cs="Arial"/>
          <w:sz w:val="20"/>
          <w:szCs w:val="20"/>
        </w:rPr>
      </w:pPr>
      <w:r>
        <w:rPr>
          <w:rFonts w:ascii="Arial" w:hAnsi="Arial" w:cs="Arial"/>
          <w:noProof/>
          <w:sz w:val="20"/>
          <w:szCs w:val="20"/>
          <w14:ligatures w14:val="standardContextual"/>
        </w:rPr>
        <w:lastRenderedPageBreak/>
        <w:drawing>
          <wp:inline distT="0" distB="0" distL="0" distR="0" wp14:anchorId="39F1349C" wp14:editId="17F9ED25">
            <wp:extent cx="4445000" cy="4546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45000" cy="4546600"/>
                    </a:xfrm>
                    <a:prstGeom prst="rect">
                      <a:avLst/>
                    </a:prstGeom>
                  </pic:spPr>
                </pic:pic>
              </a:graphicData>
            </a:graphic>
          </wp:inline>
        </w:drawing>
      </w:r>
    </w:p>
    <w:p w14:paraId="4B57EFE1" w14:textId="77777777" w:rsidR="005103E9" w:rsidRDefault="005103E9" w:rsidP="005103E9">
      <w:pPr>
        <w:rPr>
          <w:rFonts w:ascii="Arial" w:hAnsi="Arial" w:cs="Arial"/>
          <w:sz w:val="20"/>
          <w:szCs w:val="20"/>
        </w:rPr>
      </w:pPr>
    </w:p>
    <w:p w14:paraId="079A7391" w14:textId="77777777" w:rsidR="005103E9" w:rsidRPr="009B4302" w:rsidRDefault="005103E9" w:rsidP="005103E9">
      <w:pPr>
        <w:jc w:val="both"/>
        <w:rPr>
          <w:rFonts w:ascii="Arial" w:eastAsiaTheme="majorEastAsia" w:hAnsi="Arial" w:cs="Arial"/>
          <w:color w:val="000000"/>
          <w:sz w:val="18"/>
          <w:szCs w:val="18"/>
        </w:rPr>
      </w:pPr>
      <w:r w:rsidRPr="005565C7">
        <w:rPr>
          <w:rFonts w:ascii="Arial" w:hAnsi="Arial" w:cs="Arial"/>
          <w:b/>
          <w:bCs/>
          <w:sz w:val="18"/>
          <w:szCs w:val="18"/>
        </w:rPr>
        <w:t xml:space="preserve">Extended Data Fig. </w:t>
      </w:r>
      <w:r>
        <w:rPr>
          <w:rFonts w:ascii="Arial" w:hAnsi="Arial" w:cs="Arial"/>
          <w:b/>
          <w:bCs/>
          <w:sz w:val="18"/>
          <w:szCs w:val="18"/>
        </w:rPr>
        <w:t>2</w:t>
      </w:r>
      <w:r>
        <w:rPr>
          <w:rStyle w:val="Strong"/>
          <w:rFonts w:ascii="Arial" w:eastAsiaTheme="majorEastAsia" w:hAnsi="Arial" w:cs="Arial"/>
          <w:color w:val="000000"/>
          <w:sz w:val="18"/>
          <w:szCs w:val="18"/>
        </w:rPr>
        <w:t xml:space="preserve"> |</w:t>
      </w:r>
      <w:r>
        <w:rPr>
          <w:rFonts w:ascii="Arial" w:hAnsi="Arial" w:cs="Arial"/>
          <w:b/>
          <w:bCs/>
          <w:sz w:val="18"/>
          <w:szCs w:val="18"/>
        </w:rPr>
        <w:t xml:space="preserve"> Periodic alpha power is suppressed when the OCD patient yields the maximal DBS benefit</w:t>
      </w:r>
      <w:r w:rsidRPr="00884FFB">
        <w:rPr>
          <w:rFonts w:ascii="Arial" w:hAnsi="Arial" w:cs="Arial"/>
          <w:b/>
          <w:bCs/>
          <w:sz w:val="18"/>
          <w:szCs w:val="18"/>
        </w:rPr>
        <w:t>.</w:t>
      </w:r>
      <w:r>
        <w:rPr>
          <w:rFonts w:ascii="Arial" w:hAnsi="Arial" w:cs="Arial"/>
          <w:b/>
          <w:bCs/>
          <w:sz w:val="18"/>
          <w:szCs w:val="18"/>
        </w:rPr>
        <w:t xml:space="preserve"> </w:t>
      </w:r>
      <w:r w:rsidRPr="00122E15">
        <w:rPr>
          <w:rFonts w:ascii="Arial" w:eastAsiaTheme="majorEastAsia" w:hAnsi="Arial" w:cs="Arial"/>
          <w:b/>
          <w:bCs/>
          <w:color w:val="000000"/>
          <w:sz w:val="18"/>
          <w:szCs w:val="18"/>
        </w:rPr>
        <w:t>A,</w:t>
      </w:r>
      <w:r w:rsidRPr="00122E15">
        <w:rPr>
          <w:rFonts w:ascii="Arial" w:eastAsiaTheme="majorEastAsia" w:hAnsi="Arial" w:cs="Arial"/>
          <w:color w:val="000000"/>
          <w:sz w:val="18"/>
          <w:szCs w:val="18"/>
        </w:rPr>
        <w:t xml:space="preserve"> Bootstrapped average (thick line) and 95% confidence interval (shaded area) of </w:t>
      </w:r>
      <w:r>
        <w:rPr>
          <w:rFonts w:ascii="Arial" w:eastAsiaTheme="majorEastAsia" w:hAnsi="Arial" w:cs="Arial"/>
          <w:color w:val="000000"/>
          <w:sz w:val="18"/>
          <w:szCs w:val="18"/>
        </w:rPr>
        <w:t>periodic</w:t>
      </w:r>
      <w:r w:rsidRPr="00122E15">
        <w:rPr>
          <w:rFonts w:ascii="Arial" w:eastAsiaTheme="majorEastAsia" w:hAnsi="Arial" w:cs="Arial"/>
          <w:color w:val="000000"/>
          <w:sz w:val="18"/>
          <w:szCs w:val="18"/>
        </w:rPr>
        <w:t xml:space="preserve"> power spectral density (PSD, </w:t>
      </w:r>
      <w:r>
        <w:rPr>
          <w:rFonts w:ascii="Arial" w:eastAsiaTheme="majorEastAsia" w:hAnsi="Arial" w:cs="Arial"/>
          <w:color w:val="000000"/>
          <w:sz w:val="18"/>
          <w:szCs w:val="18"/>
        </w:rPr>
        <w:t>cyan</w:t>
      </w:r>
      <w:r w:rsidRPr="00122E15">
        <w:rPr>
          <w:rFonts w:ascii="Arial" w:eastAsiaTheme="majorEastAsia" w:hAnsi="Arial" w:cs="Arial"/>
          <w:color w:val="000000"/>
          <w:sz w:val="18"/>
          <w:szCs w:val="18"/>
        </w:rPr>
        <w:t>) in the 2–35 Hz range (log–log scale), split by session (dashed line, first recording session S1; solid line, session with best clinical improvement; N = 5</w:t>
      </w:r>
      <w:r>
        <w:rPr>
          <w:rFonts w:ascii="Arial" w:eastAsiaTheme="majorEastAsia" w:hAnsi="Arial" w:cs="Arial"/>
          <w:color w:val="000000"/>
          <w:sz w:val="18"/>
          <w:szCs w:val="18"/>
        </w:rPr>
        <w:t>82</w:t>
      </w:r>
      <w:r w:rsidRPr="00122E15">
        <w:rPr>
          <w:rFonts w:ascii="Arial" w:eastAsiaTheme="majorEastAsia" w:hAnsi="Arial" w:cs="Arial"/>
          <w:color w:val="000000"/>
          <w:sz w:val="18"/>
          <w:szCs w:val="18"/>
        </w:rPr>
        <w:t xml:space="preserve"> bipolar channel pairs across 2</w:t>
      </w:r>
      <w:r>
        <w:rPr>
          <w:rFonts w:ascii="Arial" w:eastAsiaTheme="majorEastAsia" w:hAnsi="Arial" w:cs="Arial"/>
          <w:color w:val="000000"/>
          <w:sz w:val="18"/>
          <w:szCs w:val="18"/>
        </w:rPr>
        <w:t>4</w:t>
      </w:r>
      <w:r w:rsidRPr="00122E15">
        <w:rPr>
          <w:rFonts w:ascii="Arial" w:eastAsiaTheme="majorEastAsia" w:hAnsi="Arial" w:cs="Arial"/>
          <w:color w:val="000000"/>
          <w:sz w:val="18"/>
          <w:szCs w:val="18"/>
        </w:rPr>
        <w:t xml:space="preserve"> hemispheres from 1</w:t>
      </w:r>
      <w:r>
        <w:rPr>
          <w:rFonts w:ascii="Arial" w:eastAsiaTheme="majorEastAsia" w:hAnsi="Arial" w:cs="Arial"/>
          <w:color w:val="000000"/>
          <w:sz w:val="18"/>
          <w:szCs w:val="18"/>
        </w:rPr>
        <w:t>2</w:t>
      </w:r>
      <w:r w:rsidRPr="00122E15">
        <w:rPr>
          <w:rFonts w:ascii="Arial" w:eastAsiaTheme="majorEastAsia" w:hAnsi="Arial" w:cs="Arial"/>
          <w:color w:val="000000"/>
          <w:sz w:val="18"/>
          <w:szCs w:val="18"/>
        </w:rPr>
        <w:t xml:space="preserve"> patients). Statistical significance was tested with a cluster-based permutation test for paired data (10,000 permutations: black line, α = 0.01). </w:t>
      </w:r>
      <w:r w:rsidRPr="00122E15">
        <w:rPr>
          <w:rFonts w:ascii="Arial" w:eastAsiaTheme="majorEastAsia" w:hAnsi="Arial" w:cs="Arial"/>
          <w:b/>
          <w:bCs/>
          <w:color w:val="000000"/>
          <w:sz w:val="18"/>
          <w:szCs w:val="18"/>
        </w:rPr>
        <w:t>B-C</w:t>
      </w:r>
      <w:r w:rsidRPr="00122E15">
        <w:rPr>
          <w:rFonts w:ascii="Arial" w:eastAsiaTheme="majorEastAsia" w:hAnsi="Arial" w:cs="Arial"/>
          <w:color w:val="000000"/>
          <w:sz w:val="18"/>
          <w:szCs w:val="18"/>
        </w:rPr>
        <w:t>, Same analysis restricted to left (</w:t>
      </w:r>
      <w:r>
        <w:rPr>
          <w:rFonts w:ascii="Arial" w:eastAsiaTheme="majorEastAsia" w:hAnsi="Arial" w:cs="Arial"/>
          <w:b/>
          <w:bCs/>
          <w:color w:val="000000"/>
          <w:sz w:val="18"/>
          <w:szCs w:val="18"/>
        </w:rPr>
        <w:t>B</w:t>
      </w:r>
      <w:r w:rsidRPr="00122E15">
        <w:rPr>
          <w:rFonts w:ascii="Arial" w:eastAsiaTheme="majorEastAsia" w:hAnsi="Arial" w:cs="Arial"/>
          <w:color w:val="000000"/>
          <w:sz w:val="18"/>
          <w:szCs w:val="18"/>
        </w:rPr>
        <w:t>) and right (</w:t>
      </w:r>
      <w:r>
        <w:rPr>
          <w:rFonts w:ascii="Arial" w:eastAsiaTheme="majorEastAsia" w:hAnsi="Arial" w:cs="Arial"/>
          <w:b/>
          <w:bCs/>
          <w:color w:val="000000"/>
          <w:sz w:val="18"/>
          <w:szCs w:val="18"/>
        </w:rPr>
        <w:t>C</w:t>
      </w:r>
      <w:r w:rsidRPr="00122E15">
        <w:rPr>
          <w:rFonts w:ascii="Arial" w:eastAsiaTheme="majorEastAsia" w:hAnsi="Arial" w:cs="Arial"/>
          <w:color w:val="000000"/>
          <w:sz w:val="18"/>
          <w:szCs w:val="18"/>
        </w:rPr>
        <w:t>) hemispheres</w:t>
      </w:r>
      <w:r>
        <w:rPr>
          <w:rFonts w:ascii="Arial" w:eastAsiaTheme="majorEastAsia" w:hAnsi="Arial" w:cs="Arial"/>
          <w:color w:val="000000"/>
          <w:sz w:val="18"/>
          <w:szCs w:val="18"/>
        </w:rPr>
        <w:t xml:space="preserve">. </w:t>
      </w:r>
      <w:r>
        <w:rPr>
          <w:rFonts w:ascii="Arial" w:eastAsiaTheme="majorEastAsia" w:hAnsi="Arial" w:cs="Arial"/>
          <w:b/>
          <w:bCs/>
          <w:color w:val="000000"/>
          <w:sz w:val="18"/>
          <w:szCs w:val="18"/>
        </w:rPr>
        <w:t>D-F</w:t>
      </w:r>
      <w:r w:rsidRPr="00BA0C31">
        <w:rPr>
          <w:rFonts w:ascii="Arial" w:eastAsiaTheme="majorEastAsia" w:hAnsi="Arial" w:cs="Arial"/>
          <w:b/>
          <w:bCs/>
          <w:color w:val="000000"/>
          <w:sz w:val="18"/>
          <w:szCs w:val="18"/>
        </w:rPr>
        <w:t>,</w:t>
      </w:r>
      <w:r w:rsidRPr="00122E15">
        <w:rPr>
          <w:rFonts w:ascii="Arial" w:eastAsiaTheme="majorEastAsia" w:hAnsi="Arial" w:cs="Arial"/>
          <w:color w:val="000000"/>
          <w:sz w:val="18"/>
          <w:szCs w:val="18"/>
        </w:rPr>
        <w:t> Same analyses as</w:t>
      </w:r>
      <w:r>
        <w:rPr>
          <w:rFonts w:ascii="Arial" w:eastAsiaTheme="majorEastAsia" w:hAnsi="Arial" w:cs="Arial"/>
          <w:color w:val="000000"/>
          <w:sz w:val="18"/>
          <w:szCs w:val="18"/>
        </w:rPr>
        <w:t xml:space="preserve"> in</w:t>
      </w:r>
      <w:r w:rsidRPr="00122E15">
        <w:rPr>
          <w:rFonts w:ascii="Arial" w:eastAsiaTheme="majorEastAsia" w:hAnsi="Arial" w:cs="Arial"/>
          <w:color w:val="000000"/>
          <w:sz w:val="18"/>
          <w:szCs w:val="18"/>
        </w:rPr>
        <w:t xml:space="preserve"> </w:t>
      </w:r>
      <w:r w:rsidRPr="00125D6F">
        <w:rPr>
          <w:rFonts w:ascii="Arial" w:eastAsiaTheme="majorEastAsia" w:hAnsi="Arial" w:cs="Arial"/>
          <w:b/>
          <w:bCs/>
          <w:color w:val="000000"/>
          <w:sz w:val="18"/>
          <w:szCs w:val="18"/>
        </w:rPr>
        <w:t>A-C</w:t>
      </w:r>
      <w:r w:rsidRPr="00122E15">
        <w:rPr>
          <w:rFonts w:ascii="Arial" w:eastAsiaTheme="majorEastAsia" w:hAnsi="Arial" w:cs="Arial"/>
          <w:color w:val="000000"/>
          <w:sz w:val="18"/>
          <w:szCs w:val="18"/>
        </w:rPr>
        <w:t xml:space="preserve"> for periodic PSD aligned to the </w:t>
      </w:r>
      <w:r>
        <w:rPr>
          <w:rFonts w:ascii="Arial" w:eastAsiaTheme="majorEastAsia" w:hAnsi="Arial" w:cs="Arial"/>
          <w:color w:val="000000"/>
          <w:sz w:val="18"/>
          <w:szCs w:val="18"/>
        </w:rPr>
        <w:t>individual</w:t>
      </w:r>
      <w:r w:rsidRPr="00122E15">
        <w:rPr>
          <w:rFonts w:ascii="Arial" w:eastAsiaTheme="majorEastAsia" w:hAnsi="Arial" w:cs="Arial"/>
          <w:color w:val="000000"/>
          <w:sz w:val="18"/>
          <w:szCs w:val="18"/>
        </w:rPr>
        <w:t xml:space="preserve"> alpha peak (−5 to</w:t>
      </w:r>
      <w:r>
        <w:rPr>
          <w:rFonts w:ascii="Arial" w:eastAsiaTheme="majorEastAsia" w:hAnsi="Arial" w:cs="Arial"/>
          <w:color w:val="000000"/>
          <w:sz w:val="18"/>
          <w:szCs w:val="18"/>
        </w:rPr>
        <w:t xml:space="preserve"> </w:t>
      </w:r>
      <w:r w:rsidRPr="00122E15">
        <w:rPr>
          <w:rFonts w:ascii="Arial" w:eastAsiaTheme="majorEastAsia" w:hAnsi="Arial" w:cs="Arial"/>
          <w:color w:val="000000"/>
          <w:sz w:val="18"/>
          <w:szCs w:val="18"/>
        </w:rPr>
        <w:t>+5 Hz window).</w:t>
      </w:r>
      <w:r>
        <w:rPr>
          <w:rFonts w:ascii="Arial" w:eastAsiaTheme="majorEastAsia" w:hAnsi="Arial" w:cs="Arial"/>
          <w:color w:val="000000"/>
          <w:sz w:val="18"/>
          <w:szCs w:val="18"/>
        </w:rPr>
        <w:t xml:space="preserve"> </w:t>
      </w:r>
      <w:r w:rsidRPr="00122E15">
        <w:rPr>
          <w:rFonts w:ascii="Arial" w:eastAsiaTheme="majorEastAsia" w:hAnsi="Arial" w:cs="Arial"/>
          <w:color w:val="000000"/>
          <w:sz w:val="18"/>
          <w:szCs w:val="18"/>
        </w:rPr>
        <w:t>Statistical significance is summarized with asterisks (*P &lt; 0.05, **P &lt; 0.01, ***P &lt; 0.001).</w:t>
      </w:r>
    </w:p>
    <w:p w14:paraId="4B503992" w14:textId="77777777" w:rsidR="005103E9" w:rsidRPr="005565C7" w:rsidRDefault="005103E9" w:rsidP="005103E9">
      <w:pPr>
        <w:jc w:val="both"/>
        <w:rPr>
          <w:rFonts w:ascii="Arial" w:hAnsi="Arial" w:cs="Arial"/>
          <w:sz w:val="18"/>
          <w:szCs w:val="18"/>
        </w:rPr>
      </w:pPr>
    </w:p>
    <w:p w14:paraId="5FBD8335" w14:textId="77777777" w:rsidR="005103E9" w:rsidRDefault="005103E9" w:rsidP="005103E9">
      <w:pPr>
        <w:rPr>
          <w:rFonts w:ascii="Arial" w:hAnsi="Arial" w:cs="Arial"/>
          <w:sz w:val="20"/>
          <w:szCs w:val="20"/>
        </w:rPr>
      </w:pPr>
    </w:p>
    <w:p w14:paraId="045F7B0C" w14:textId="77777777" w:rsidR="005103E9" w:rsidRDefault="005103E9" w:rsidP="005103E9">
      <w:pPr>
        <w:rPr>
          <w:rFonts w:ascii="Arial" w:hAnsi="Arial" w:cs="Arial"/>
          <w:sz w:val="20"/>
          <w:szCs w:val="20"/>
        </w:rPr>
      </w:pPr>
    </w:p>
    <w:p w14:paraId="5E003953" w14:textId="77777777" w:rsidR="005103E9" w:rsidRDefault="005103E9" w:rsidP="005103E9">
      <w:pPr>
        <w:rPr>
          <w:rFonts w:ascii="Arial" w:hAnsi="Arial" w:cs="Arial"/>
          <w:sz w:val="20"/>
          <w:szCs w:val="20"/>
        </w:rPr>
      </w:pPr>
    </w:p>
    <w:p w14:paraId="49A4074F" w14:textId="77777777" w:rsidR="005103E9" w:rsidRDefault="005103E9" w:rsidP="005103E9">
      <w:pPr>
        <w:rPr>
          <w:rFonts w:ascii="Arial" w:hAnsi="Arial" w:cs="Arial"/>
          <w:sz w:val="20"/>
          <w:szCs w:val="20"/>
        </w:rPr>
      </w:pPr>
    </w:p>
    <w:p w14:paraId="34B93997" w14:textId="77777777" w:rsidR="005103E9" w:rsidRDefault="005103E9" w:rsidP="005103E9">
      <w:pPr>
        <w:rPr>
          <w:rFonts w:ascii="Arial" w:hAnsi="Arial" w:cs="Arial"/>
          <w:sz w:val="20"/>
          <w:szCs w:val="20"/>
        </w:rPr>
      </w:pPr>
    </w:p>
    <w:p w14:paraId="40E3322B" w14:textId="77777777" w:rsidR="005103E9" w:rsidRDefault="005103E9" w:rsidP="005103E9">
      <w:pPr>
        <w:rPr>
          <w:rFonts w:ascii="Arial" w:hAnsi="Arial" w:cs="Arial"/>
          <w:sz w:val="20"/>
          <w:szCs w:val="20"/>
        </w:rPr>
      </w:pPr>
    </w:p>
    <w:p w14:paraId="67086D11" w14:textId="77777777" w:rsidR="005103E9" w:rsidRDefault="005103E9" w:rsidP="005103E9">
      <w:pPr>
        <w:rPr>
          <w:rFonts w:ascii="Arial" w:hAnsi="Arial" w:cs="Arial"/>
          <w:sz w:val="20"/>
          <w:szCs w:val="20"/>
        </w:rPr>
      </w:pPr>
    </w:p>
    <w:p w14:paraId="494D1006" w14:textId="77777777" w:rsidR="005103E9" w:rsidRDefault="005103E9" w:rsidP="005103E9">
      <w:pPr>
        <w:rPr>
          <w:rFonts w:ascii="Arial" w:hAnsi="Arial" w:cs="Arial"/>
          <w:sz w:val="20"/>
          <w:szCs w:val="20"/>
        </w:rPr>
      </w:pPr>
    </w:p>
    <w:p w14:paraId="2C6C90C5" w14:textId="77777777" w:rsidR="005103E9" w:rsidRDefault="005103E9" w:rsidP="005103E9">
      <w:pPr>
        <w:rPr>
          <w:rFonts w:ascii="Arial" w:hAnsi="Arial" w:cs="Arial"/>
          <w:sz w:val="20"/>
          <w:szCs w:val="20"/>
        </w:rPr>
      </w:pPr>
    </w:p>
    <w:p w14:paraId="5BFAA032" w14:textId="77777777" w:rsidR="005103E9" w:rsidRDefault="005103E9" w:rsidP="005103E9">
      <w:pPr>
        <w:rPr>
          <w:rFonts w:ascii="Arial" w:hAnsi="Arial" w:cs="Arial"/>
          <w:sz w:val="20"/>
          <w:szCs w:val="20"/>
        </w:rPr>
      </w:pPr>
    </w:p>
    <w:p w14:paraId="38E074B5" w14:textId="77777777" w:rsidR="005103E9" w:rsidRDefault="005103E9" w:rsidP="005103E9">
      <w:pPr>
        <w:rPr>
          <w:rFonts w:ascii="Arial" w:hAnsi="Arial" w:cs="Arial"/>
          <w:sz w:val="20"/>
          <w:szCs w:val="20"/>
        </w:rPr>
      </w:pPr>
    </w:p>
    <w:p w14:paraId="15EA15BA" w14:textId="77777777" w:rsidR="005103E9" w:rsidRDefault="005103E9" w:rsidP="005103E9">
      <w:pPr>
        <w:rPr>
          <w:rFonts w:ascii="Arial" w:hAnsi="Arial" w:cs="Arial"/>
          <w:sz w:val="20"/>
          <w:szCs w:val="20"/>
        </w:rPr>
      </w:pPr>
    </w:p>
    <w:p w14:paraId="50504F78" w14:textId="77777777" w:rsidR="005103E9" w:rsidRDefault="005103E9" w:rsidP="005103E9">
      <w:pPr>
        <w:rPr>
          <w:rFonts w:ascii="Arial" w:hAnsi="Arial" w:cs="Arial"/>
          <w:sz w:val="20"/>
          <w:szCs w:val="20"/>
        </w:rPr>
      </w:pPr>
    </w:p>
    <w:p w14:paraId="340592B3" w14:textId="77777777" w:rsidR="005103E9" w:rsidRDefault="005103E9" w:rsidP="005103E9">
      <w:pPr>
        <w:rPr>
          <w:rFonts w:ascii="Arial" w:hAnsi="Arial" w:cs="Arial"/>
          <w:sz w:val="20"/>
          <w:szCs w:val="20"/>
        </w:rPr>
      </w:pPr>
    </w:p>
    <w:p w14:paraId="54D9AA47" w14:textId="77777777" w:rsidR="005103E9" w:rsidRDefault="005103E9" w:rsidP="005103E9">
      <w:pPr>
        <w:rPr>
          <w:rFonts w:ascii="Arial" w:hAnsi="Arial" w:cs="Arial"/>
          <w:sz w:val="20"/>
          <w:szCs w:val="20"/>
        </w:rPr>
      </w:pPr>
    </w:p>
    <w:p w14:paraId="3D664A0C" w14:textId="77777777" w:rsidR="005103E9" w:rsidRDefault="005103E9" w:rsidP="005103E9">
      <w:pPr>
        <w:rPr>
          <w:rFonts w:ascii="Arial" w:hAnsi="Arial" w:cs="Arial"/>
          <w:sz w:val="20"/>
          <w:szCs w:val="20"/>
        </w:rPr>
      </w:pPr>
    </w:p>
    <w:p w14:paraId="1833898D" w14:textId="77777777" w:rsidR="005103E9" w:rsidRDefault="005103E9" w:rsidP="005103E9">
      <w:pPr>
        <w:rPr>
          <w:rFonts w:ascii="Arial" w:hAnsi="Arial" w:cs="Arial"/>
          <w:sz w:val="20"/>
          <w:szCs w:val="20"/>
        </w:rPr>
      </w:pPr>
      <w:r>
        <w:rPr>
          <w:rFonts w:ascii="Arial" w:hAnsi="Arial" w:cs="Arial"/>
          <w:noProof/>
          <w:sz w:val="20"/>
          <w:szCs w:val="20"/>
          <w14:ligatures w14:val="standardContextual"/>
        </w:rPr>
        <w:lastRenderedPageBreak/>
        <w:drawing>
          <wp:inline distT="0" distB="0" distL="0" distR="0" wp14:anchorId="371588F8" wp14:editId="02F8A5B6">
            <wp:extent cx="4495800" cy="2209800"/>
            <wp:effectExtent l="0" t="0" r="0" b="0"/>
            <wp:docPr id="16" name="Picture 16"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 shot of a graph&#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95800" cy="2209800"/>
                    </a:xfrm>
                    <a:prstGeom prst="rect">
                      <a:avLst/>
                    </a:prstGeom>
                  </pic:spPr>
                </pic:pic>
              </a:graphicData>
            </a:graphic>
          </wp:inline>
        </w:drawing>
      </w:r>
    </w:p>
    <w:p w14:paraId="0C309BE0" w14:textId="77777777" w:rsidR="005103E9" w:rsidRPr="001D195E" w:rsidRDefault="005103E9" w:rsidP="005103E9">
      <w:pPr>
        <w:pStyle w:val="p1"/>
        <w:jc w:val="both"/>
        <w:rPr>
          <w:rFonts w:ascii="Arial" w:hAnsi="Arial" w:cs="Arial"/>
          <w:sz w:val="18"/>
          <w:szCs w:val="18"/>
        </w:rPr>
      </w:pPr>
      <w:r>
        <w:rPr>
          <w:rFonts w:ascii="Arial" w:hAnsi="Arial" w:cs="Arial"/>
          <w:b/>
          <w:bCs/>
          <w:sz w:val="18"/>
          <w:szCs w:val="18"/>
        </w:rPr>
        <w:t>Extended Data Fig. 3 |</w:t>
      </w:r>
      <w:r w:rsidRPr="001D195E">
        <w:rPr>
          <w:rFonts w:ascii="Arial" w:hAnsi="Arial" w:cs="Arial"/>
          <w:b/>
          <w:bCs/>
          <w:sz w:val="18"/>
          <w:szCs w:val="18"/>
        </w:rPr>
        <w:t xml:space="preserve"> Periodic alpha power identifies optimal stimulation contacts</w:t>
      </w:r>
      <w:r>
        <w:rPr>
          <w:rFonts w:ascii="Arial" w:hAnsi="Arial" w:cs="Arial"/>
          <w:b/>
          <w:bCs/>
          <w:sz w:val="18"/>
          <w:szCs w:val="18"/>
        </w:rPr>
        <w:t xml:space="preserve"> despite the choice of the alpha frequency band</w:t>
      </w:r>
      <w:r w:rsidRPr="001D195E">
        <w:rPr>
          <w:rFonts w:ascii="Arial" w:hAnsi="Arial" w:cs="Arial"/>
          <w:b/>
          <w:bCs/>
          <w:sz w:val="18"/>
          <w:szCs w:val="18"/>
        </w:rPr>
        <w:t>.</w:t>
      </w:r>
      <w:r>
        <w:rPr>
          <w:rFonts w:ascii="Arial" w:hAnsi="Arial" w:cs="Arial"/>
          <w:b/>
          <w:bCs/>
          <w:sz w:val="18"/>
          <w:szCs w:val="18"/>
        </w:rPr>
        <w:t xml:space="preserve"> </w:t>
      </w:r>
      <w:r w:rsidRPr="001D195E">
        <w:rPr>
          <w:rStyle w:val="s1"/>
          <w:rFonts w:ascii="Arial" w:eastAsiaTheme="majorEastAsia" w:hAnsi="Arial" w:cs="Arial"/>
          <w:b/>
          <w:bCs/>
          <w:sz w:val="18"/>
          <w:szCs w:val="18"/>
        </w:rPr>
        <w:t>A,</w:t>
      </w:r>
      <w:r w:rsidRPr="001D195E">
        <w:rPr>
          <w:rFonts w:ascii="Arial" w:hAnsi="Arial" w:cs="Arial"/>
          <w:sz w:val="18"/>
          <w:szCs w:val="18"/>
        </w:rPr>
        <w:t xml:space="preserve"> Distribution of </w:t>
      </w:r>
      <w:r>
        <w:rPr>
          <w:rFonts w:ascii="Arial" w:hAnsi="Arial" w:cs="Arial"/>
          <w:sz w:val="18"/>
          <w:szCs w:val="18"/>
        </w:rPr>
        <w:t xml:space="preserve">periodic </w:t>
      </w:r>
      <w:r w:rsidRPr="001D195E">
        <w:rPr>
          <w:rFonts w:ascii="Arial" w:hAnsi="Arial" w:cs="Arial"/>
          <w:sz w:val="18"/>
          <w:szCs w:val="18"/>
        </w:rPr>
        <w:t xml:space="preserve">alpha power </w:t>
      </w:r>
      <w:r>
        <w:rPr>
          <w:rFonts w:ascii="Arial" w:hAnsi="Arial" w:cs="Arial"/>
          <w:sz w:val="18"/>
          <w:szCs w:val="18"/>
        </w:rPr>
        <w:t>(cyan</w:t>
      </w:r>
      <w:r w:rsidRPr="001D195E">
        <w:rPr>
          <w:rFonts w:ascii="Arial" w:hAnsi="Arial" w:cs="Arial"/>
          <w:sz w:val="18"/>
          <w:szCs w:val="18"/>
        </w:rPr>
        <w:t xml:space="preserve">) in inactive versus active contacts, defined as those chosen for stimulation during the first programming session (largely overlapping with the first recording session, S1). </w:t>
      </w:r>
      <w:r>
        <w:rPr>
          <w:rFonts w:ascii="Arial" w:hAnsi="Arial" w:cs="Arial"/>
          <w:sz w:val="18"/>
          <w:szCs w:val="18"/>
        </w:rPr>
        <w:t>P</w:t>
      </w:r>
      <w:r w:rsidRPr="00EA6142">
        <w:rPr>
          <w:rFonts w:ascii="Arial" w:hAnsi="Arial" w:cs="Arial"/>
          <w:sz w:val="18"/>
          <w:szCs w:val="18"/>
        </w:rPr>
        <w:t xml:space="preserve">eriodic alpha power was quantified </w:t>
      </w:r>
      <w:r>
        <w:rPr>
          <w:rFonts w:ascii="Arial" w:hAnsi="Arial" w:cs="Arial"/>
          <w:sz w:val="18"/>
          <w:szCs w:val="18"/>
        </w:rPr>
        <w:t>in the canonical alpha frequency band (7 - 14</w:t>
      </w:r>
      <w:r w:rsidRPr="00EA6142">
        <w:rPr>
          <w:rFonts w:ascii="Arial" w:hAnsi="Arial" w:cs="Arial"/>
          <w:sz w:val="18"/>
          <w:szCs w:val="18"/>
        </w:rPr>
        <w:t xml:space="preserve">. </w:t>
      </w:r>
      <w:r w:rsidRPr="001D195E">
        <w:rPr>
          <w:rFonts w:ascii="Arial" w:hAnsi="Arial" w:cs="Arial"/>
          <w:sz w:val="18"/>
          <w:szCs w:val="18"/>
        </w:rPr>
        <w:t>Each circle represents a contact. Inset shows comparison of alpha power in active contacts (vertical line) against a sample-balanced distribution of inactive contacts generated by subsampling (10,000 iterations) (N = 96 contacts across 24 hemispheres from 13 patients).</w:t>
      </w:r>
      <w:r>
        <w:rPr>
          <w:rFonts w:ascii="Arial" w:hAnsi="Arial" w:cs="Arial"/>
          <w:sz w:val="18"/>
          <w:szCs w:val="18"/>
        </w:rPr>
        <w:t xml:space="preserve"> </w:t>
      </w:r>
      <w:r w:rsidRPr="001D195E">
        <w:rPr>
          <w:rStyle w:val="s1"/>
          <w:rFonts w:ascii="Arial" w:eastAsiaTheme="majorEastAsia" w:hAnsi="Arial" w:cs="Arial"/>
          <w:b/>
          <w:bCs/>
          <w:sz w:val="18"/>
          <w:szCs w:val="18"/>
        </w:rPr>
        <w:t>B,</w:t>
      </w:r>
      <w:r w:rsidRPr="001D195E">
        <w:rPr>
          <w:rFonts w:ascii="Arial" w:hAnsi="Arial" w:cs="Arial"/>
          <w:sz w:val="18"/>
          <w:szCs w:val="18"/>
        </w:rPr>
        <w:t xml:space="preserve"> Cumulative probability of selecting the clinically optimal stimulation contact based on the highest alpha power rank across contacts within each hemisphere. Dashed line and gray shaded area indicate prediction accuracy of the monopolar contact review with 95% confidence interval. Prediction capability was quantified as area under the curve (AUC; chance = 0.5, perfect prediction = 1) and tested against the manual mapping distribution.</w:t>
      </w:r>
      <w:r>
        <w:rPr>
          <w:rFonts w:ascii="Arial" w:hAnsi="Arial" w:cs="Arial"/>
          <w:sz w:val="18"/>
          <w:szCs w:val="18"/>
        </w:rPr>
        <w:t xml:space="preserve"> </w:t>
      </w:r>
      <w:r w:rsidRPr="001D195E">
        <w:rPr>
          <w:rFonts w:ascii="Arial" w:hAnsi="Arial" w:cs="Arial"/>
          <w:sz w:val="18"/>
          <w:szCs w:val="18"/>
        </w:rPr>
        <w:t>P values are summarized by asterisks (*P &lt; 0.05, **P &lt; 0.01, ***P &lt; 0.001).</w:t>
      </w:r>
    </w:p>
    <w:p w14:paraId="3FD895F3" w14:textId="77777777" w:rsidR="005103E9" w:rsidRPr="005A2042" w:rsidRDefault="005103E9" w:rsidP="005103E9">
      <w:pPr>
        <w:rPr>
          <w:rFonts w:ascii="Arial" w:hAnsi="Arial" w:cs="Arial"/>
          <w:sz w:val="20"/>
          <w:szCs w:val="20"/>
        </w:rPr>
      </w:pPr>
    </w:p>
    <w:p w14:paraId="34ED9996" w14:textId="77777777" w:rsidR="00F553FF" w:rsidRDefault="00F553FF"/>
    <w:sectPr w:rsidR="00F553FF" w:rsidSect="00510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E9"/>
    <w:rsid w:val="003C2EF4"/>
    <w:rsid w:val="00416A62"/>
    <w:rsid w:val="00446799"/>
    <w:rsid w:val="005103E9"/>
    <w:rsid w:val="006A7E07"/>
    <w:rsid w:val="00701021"/>
    <w:rsid w:val="00B74216"/>
    <w:rsid w:val="00D62F8C"/>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2A1D"/>
  <w15:chartTrackingRefBased/>
  <w15:docId w15:val="{EB0584AA-9F9C-45A3-990B-D777EC7B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E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0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0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03E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03E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03E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03E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03E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03E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03E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3E9"/>
    <w:rPr>
      <w:rFonts w:eastAsiaTheme="majorEastAsia" w:cstheme="majorBidi"/>
      <w:color w:val="272727" w:themeColor="text1" w:themeTint="D8"/>
    </w:rPr>
  </w:style>
  <w:style w:type="paragraph" w:styleId="Title">
    <w:name w:val="Title"/>
    <w:basedOn w:val="Normal"/>
    <w:next w:val="Normal"/>
    <w:link w:val="TitleChar"/>
    <w:uiPriority w:val="10"/>
    <w:qFormat/>
    <w:rsid w:val="005103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3E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3E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03E9"/>
    <w:rPr>
      <w:i/>
      <w:iCs/>
      <w:color w:val="404040" w:themeColor="text1" w:themeTint="BF"/>
    </w:rPr>
  </w:style>
  <w:style w:type="paragraph" w:styleId="ListParagraph">
    <w:name w:val="List Paragraph"/>
    <w:basedOn w:val="Normal"/>
    <w:uiPriority w:val="34"/>
    <w:qFormat/>
    <w:rsid w:val="005103E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03E9"/>
    <w:rPr>
      <w:i/>
      <w:iCs/>
      <w:color w:val="0F4761" w:themeColor="accent1" w:themeShade="BF"/>
    </w:rPr>
  </w:style>
  <w:style w:type="paragraph" w:styleId="IntenseQuote">
    <w:name w:val="Intense Quote"/>
    <w:basedOn w:val="Normal"/>
    <w:next w:val="Normal"/>
    <w:link w:val="IntenseQuoteChar"/>
    <w:uiPriority w:val="30"/>
    <w:qFormat/>
    <w:rsid w:val="005103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03E9"/>
    <w:rPr>
      <w:i/>
      <w:iCs/>
      <w:color w:val="0F4761" w:themeColor="accent1" w:themeShade="BF"/>
    </w:rPr>
  </w:style>
  <w:style w:type="character" w:styleId="IntenseReference">
    <w:name w:val="Intense Reference"/>
    <w:basedOn w:val="DefaultParagraphFont"/>
    <w:uiPriority w:val="32"/>
    <w:qFormat/>
    <w:rsid w:val="005103E9"/>
    <w:rPr>
      <w:b/>
      <w:bCs/>
      <w:smallCaps/>
      <w:color w:val="0F4761" w:themeColor="accent1" w:themeShade="BF"/>
      <w:spacing w:val="5"/>
    </w:rPr>
  </w:style>
  <w:style w:type="character" w:styleId="Strong">
    <w:name w:val="Strong"/>
    <w:basedOn w:val="DefaultParagraphFont"/>
    <w:uiPriority w:val="22"/>
    <w:qFormat/>
    <w:rsid w:val="005103E9"/>
    <w:rPr>
      <w:b/>
      <w:bCs/>
    </w:rPr>
  </w:style>
  <w:style w:type="paragraph" w:customStyle="1" w:styleId="p1">
    <w:name w:val="p1"/>
    <w:basedOn w:val="Normal"/>
    <w:rsid w:val="005103E9"/>
    <w:pPr>
      <w:spacing w:before="100" w:beforeAutospacing="1" w:after="100" w:afterAutospacing="1"/>
    </w:pPr>
  </w:style>
  <w:style w:type="character" w:customStyle="1" w:styleId="s1">
    <w:name w:val="s1"/>
    <w:basedOn w:val="DefaultParagraphFont"/>
    <w:rsid w:val="0051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2527</Characters>
  <Application>Microsoft Office Word</Application>
  <DocSecurity>0</DocSecurity>
  <Lines>21</Lines>
  <Paragraphs>5</Paragraphs>
  <ScaleCrop>false</ScaleCrop>
  <Company>Springer Nature</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2026-04-20T07:16:00Z</dcterms:created>
  <dcterms:modified xsi:type="dcterms:W3CDTF">2026-04-20T07:16:00Z</dcterms:modified>
</cp:coreProperties>
</file>