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after="0" w:line="240" w:lineRule="auto"/>
        <w:tabs defTabSz="708"/>
        <w:rPr>
          <w:rFonts w:ascii="Arial" w:hAnsi="Arial" w:eastAsia="SimSun" w:cs="Arial"/>
          <w:sz w:val="22"/>
          <w:szCs w:val="22"/>
        </w:rPr>
      </w:pPr>
      <w:r/>
      <w:bookmarkStart w:id="0" w:name="_1uibi4o5hrkt"/>
      <w:r/>
      <w:bookmarkEnd w:id="0"/>
      <w:r/>
      <w:bookmarkStart w:id="1" w:name="_2hfb52usm4us"/>
      <w:r/>
      <w:bookmarkEnd w:id="1"/>
      <w:r/>
      <w:r>
        <w:rPr>
          <w:rFonts w:ascii="Arial" w:hAnsi="Arial" w:eastAsia="SimSun" w:cs="Arial"/>
          <w:sz w:val="22"/>
          <w:szCs w:val="22"/>
        </w:rPr>
      </w:r>
      <w:bookmarkStart w:id="2" w:name="_6wwddb7tnjp4"/>
      <w:r>
        <w:rPr>
          <w:rFonts w:ascii="Arial" w:hAnsi="Arial" w:eastAsia="SimSun" w:cs="Arial"/>
          <w:sz w:val="22"/>
          <w:szCs w:val="22"/>
        </w:rPr>
      </w:r>
      <w:bookmarkEnd w:id="2"/>
      <w:r>
        <w:rPr>
          <w:rFonts w:ascii="Arial" w:hAnsi="Arial" w:eastAsia="SimSun" w:cs="Arial"/>
          <w:sz w:val="22"/>
          <w:szCs w:val="22"/>
        </w:rPr>
        <w:t>Article title:</w:t>
      </w:r>
      <w:r>
        <w:rPr>
          <w:rFonts w:ascii="Arial" w:hAnsi="Arial" w:eastAsia="SimSun" w:cs="Arial"/>
          <w:b w:val="0"/>
          <w:sz w:val="22"/>
          <w:szCs w:val="22"/>
        </w:rPr>
        <w:t xml:space="preserve"> Holistic compression model to predict post-stroke mood at 6 months</w:t>
      </w:r>
      <w:r>
        <w:rPr>
          <w:rFonts w:ascii="Arial" w:hAnsi="Arial" w:eastAsia="SimSun" w:cs="Arial"/>
          <w:sz w:val="22"/>
          <w:szCs w:val="22"/>
        </w:rPr>
      </w:r>
    </w:p>
    <w:p>
      <w:pPr>
        <w:pStyle w:val="para2"/>
        <w:spacing w:after="0" w:line="240" w:lineRule="auto"/>
        <w:tabs defTabSz="708"/>
        <w:rPr>
          <w:rFonts w:ascii="Arial" w:hAnsi="Arial" w:eastAsia="SimSun" w:cs="Arial"/>
          <w:b w:val="0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 xml:space="preserve">Journal name: </w:t>
      </w:r>
      <w:r>
        <w:rPr>
          <w:rFonts w:ascii="Arial" w:hAnsi="Arial" w:eastAsia="SimSun" w:cs="Arial"/>
          <w:b w:val="0"/>
          <w:sz w:val="22"/>
          <w:szCs w:val="22"/>
        </w:rPr>
        <w:t>Brain Structure and Function</w:t>
      </w:r>
    </w:p>
    <w:p>
      <w:pPr>
        <w:pStyle w:val="para2"/>
        <w:spacing w:after="0" w:line="240" w:lineRule="auto"/>
        <w:tabs defTabSz="708"/>
        <w:rPr>
          <w:rFonts w:ascii="Times New Roman" w:hAnsi="Times New Roman" w:eastAsia="SimSun" w:cs="Times New Roman"/>
          <w:b w:val="0"/>
          <w:sz w:val="16"/>
          <w:szCs w:val="16"/>
        </w:rPr>
      </w:pPr>
      <w:r>
        <w:rPr>
          <w:rFonts w:ascii="Arial" w:hAnsi="Arial" w:eastAsia="SimSun" w:cs="Arial"/>
          <w:sz w:val="22"/>
          <w:szCs w:val="22"/>
        </w:rPr>
        <w:t xml:space="preserve">Author names: </w:t>
      </w:r>
      <w:r>
        <w:rPr>
          <w:rFonts w:ascii="Arial" w:hAnsi="Arial" w:eastAsia="SimSun" w:cs="Times New Roman"/>
          <w:b w:val="0"/>
          <w:color w:val="000000"/>
          <w:sz w:val="22"/>
          <w:szCs w:val="22"/>
        </w:rPr>
        <w:t>Suhrit Duttagupta, Michel Thiebaut de Schotten, Thomas Tourdias, Olivier Godefroy, Sylvie Berthoz, Igor Sibon</w:t>
      </w:r>
      <w:r>
        <w:rPr>
          <w:rFonts w:ascii="Times New Roman" w:hAnsi="Times New Roman" w:eastAsia="SimSun" w:cs="Times New Roman"/>
          <w:b w:val="0"/>
          <w:sz w:val="16"/>
          <w:szCs w:val="16"/>
        </w:rPr>
      </w:r>
    </w:p>
    <w:p>
      <w:pPr>
        <w:pStyle w:val="para2"/>
        <w:spacing w:after="0" w:line="240" w:lineRule="auto"/>
        <w:tabs defTabSz="708"/>
        <w:rPr>
          <w:rFonts w:ascii="Arial" w:hAnsi="Arial" w:eastAsia="Arial" w:cs="Arial"/>
          <w:b w:val="0"/>
          <w:sz w:val="22"/>
          <w:szCs w:val="22"/>
        </w:rPr>
      </w:pPr>
      <w:r>
        <w:rPr>
          <w:rFonts w:ascii="Arial" w:hAnsi="Arial" w:eastAsia="SimSun" w:cs="Arial"/>
          <w:sz w:val="22"/>
          <w:szCs w:val="22"/>
        </w:rPr>
        <w:t>Affiliation and e-mail address of the corresponding author: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color w:val="000000"/>
          <w:sz w:val="22"/>
          <w:szCs w:val="22"/>
        </w:rPr>
        <w:t>Univ. Bordeaux, INCIA UMR 5287, Bordeaux, France 33000</w:t>
      </w:r>
      <w:r>
        <w:rPr>
          <w:rFonts w:ascii="Arial" w:hAnsi="Arial" w:eastAsia="Arial" w:cs="Arial"/>
          <w:b w:val="0"/>
          <w:sz w:val="22"/>
          <w:szCs w:val="22"/>
        </w:rPr>
        <w:t>; suhritdgupta@gmail.com</w:t>
      </w:r>
    </w:p>
    <w:p>
      <w:pPr>
        <w:pStyle w:val="para1"/>
        <w:rPr>
          <w:sz w:val="28"/>
          <w:szCs w:val="28"/>
        </w:rPr>
      </w:pPr>
      <w:r>
        <w:rPr>
          <w:sz w:val="28"/>
          <w:szCs w:val="28"/>
        </w:rPr>
        <w:t>Supplementary Material 1: Intercohort comparisons</w:t>
      </w:r>
    </w:p>
    <w:p>
      <w:pPr>
        <w:numPr>
          <w:ilvl w:val="0"/>
          <w:numId w:val="1"/>
        </w:numPr>
        <w:ind w:left="720" w:hanging="360"/>
      </w:pPr>
      <w:r>
        <w:t>Kruskall-Wallis three-way comparisons</w:t>
      </w:r>
    </w:p>
    <w:p>
      <w:r/>
    </w:p>
    <w:tbl>
      <w:tblPr>
        <w:tblStyle w:val="TableNormal"/>
        <w:name w:val="Table1"/>
        <w:tabOrder w:val="0"/>
        <w:jc w:val="left"/>
        <w:tblInd w:w="0" w:type="dxa"/>
        <w:tblW w:w="5850" w:type="dxa"/>
        <w:tblLook w:val="0600" w:firstRow="0" w:lastRow="0" w:firstColumn="0" w:lastColumn="0" w:noHBand="1" w:noVBand="1"/>
      </w:tblPr>
      <w:tblGrid>
        <w:gridCol w:w="2699"/>
        <w:gridCol w:w="1651"/>
        <w:gridCol w:w="1500"/>
      </w:tblGrid>
      <w:tr>
        <w:trPr>
          <w:tblHeader w:val="0"/>
          <w:cantSplit w:val="0"/>
          <w:trHeight w:val="0" w:hRule="auto"/>
        </w:trPr>
        <w:tc>
          <w:tcPr>
            <w:tcW w:w="26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/>
          </w:p>
        </w:tc>
        <w:tc>
          <w:tcPr>
            <w:tcW w:w="165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χ²</w:t>
            </w:r>
          </w:p>
        </w:tc>
        <w:tc>
          <w:tcPr>
            <w:tcW w:w="15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p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Age</w:t>
            </w:r>
          </w:p>
        </w:tc>
        <w:tc>
          <w:tcPr>
            <w:tcW w:w="165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67.13</w:t>
            </w:r>
          </w:p>
        </w:tc>
        <w:tc>
          <w:tcPr>
            <w:tcW w:w="15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&lt;0.001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Pre-stroke mRS</w:t>
            </w:r>
          </w:p>
        </w:tc>
        <w:tc>
          <w:tcPr>
            <w:tcW w:w="165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59.82</w:t>
            </w:r>
          </w:p>
        </w:tc>
        <w:tc>
          <w:tcPr>
            <w:tcW w:w="15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&lt;0.001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Admission NIHSS</w:t>
            </w:r>
          </w:p>
        </w:tc>
        <w:tc>
          <w:tcPr>
            <w:tcW w:w="165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133.91</w:t>
            </w:r>
          </w:p>
        </w:tc>
        <w:tc>
          <w:tcPr>
            <w:tcW w:w="15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&lt;0.001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Pre-stroke IQCODE</w:t>
            </w:r>
          </w:p>
        </w:tc>
        <w:tc>
          <w:tcPr>
            <w:tcW w:w="165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3.34</w:t>
            </w:r>
          </w:p>
        </w:tc>
        <w:tc>
          <w:tcPr>
            <w:tcW w:w="15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0.188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699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Admission MOCA</w:t>
            </w:r>
          </w:p>
        </w:tc>
        <w:tc>
          <w:tcPr>
            <w:tcW w:w="1651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115.64</w:t>
            </w:r>
          </w:p>
        </w:tc>
        <w:tc>
          <w:tcPr>
            <w:tcW w:w="1500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t>&lt;0.001</w:t>
            </w:r>
          </w:p>
        </w:tc>
      </w:tr>
    </w:tbl>
    <w:p>
      <w:r/>
    </w:p>
    <w:p>
      <w:r/>
    </w:p>
    <w:p>
      <w:r>
        <w:t>(b) Dwass-Steel-Critchlow-Fligner pairwise comparisons</w:t>
      </w:r>
    </w:p>
    <w:p>
      <w:r/>
    </w:p>
    <w:tbl>
      <w:tblPr>
        <w:tblStyle w:val="TableNormal"/>
        <w:name w:val="Table2"/>
        <w:tabOrder w:val="0"/>
        <w:jc w:val="left"/>
        <w:tblInd w:w="0" w:type="dxa"/>
        <w:tblW w:w="9023" w:type="dxa"/>
        <w:tblLook w:val="0600" w:firstRow="0" w:lastRow="0" w:firstColumn="0" w:lastColumn="0" w:noHBand="1" w:noVBand="1"/>
      </w:tblPr>
      <w:tblGrid>
        <w:gridCol w:w="2256"/>
        <w:gridCol w:w="2256"/>
        <w:gridCol w:w="2256"/>
        <w:gridCol w:w="2255"/>
      </w:tblGrid>
      <w:tr>
        <w:trPr>
          <w:tblHeader w:val="0"/>
          <w:cantSplit w:val="0"/>
          <w:trHeight w:val="0" w:hRule="auto"/>
        </w:trPr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/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MOTIV-POSDEP x BBS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MOTIV-POSDEP x GRECOGVasc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GRECOGVasc x</w:t>
            </w:r>
          </w:p>
          <w:p>
            <w:pPr>
              <w:widowControl w:val="0"/>
            </w:pPr>
            <w:r>
              <w:t>BBS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 w:val="restart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Age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10.99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6.57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6.16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/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 w:val="restart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Pre-stroke mRS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-2.19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7.07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-9.61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/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0.268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 w:val="restart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Admission NIHSS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-16.33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-10.61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-5.27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/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 w:val="restart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Pre-stroke IQCODE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2.278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2.205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0.196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/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0.241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0.264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0.990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 w:val="restart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Admission MOCA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-13.95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-12.36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2.12</w:t>
            </w:r>
          </w:p>
        </w:tc>
      </w:tr>
      <w:tr>
        <w:trPr>
          <w:tblHeader w:val="0"/>
          <w:cantSplit w:val="0"/>
          <w:trHeight w:val="420" w:hRule="atLeast"/>
        </w:trPr>
        <w:tc>
          <w:tcPr>
            <w:tcW w:w="2256" w:type="dxa"/>
            <w:vMerge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/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  <w:tc>
          <w:tcPr>
            <w:tcW w:w="2256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&lt;0.001</w:t>
            </w:r>
          </w:p>
        </w:tc>
        <w:tc>
          <w:tcPr>
            <w:tcW w:w="2255" w:type="dxa"/>
            <w:shd w:val="none"/>
            <w:tcMar>
              <w:top w:w="100" w:type="dxa"/>
              <w:left w:w="100" w:type="dxa"/>
              <w:bottom w:w="100" w:type="dxa"/>
              <w:right w:w="100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0.290</w:t>
            </w:r>
          </w:p>
        </w:tc>
      </w:tr>
    </w:tbl>
    <w:p>
      <w:r/>
    </w:p>
    <w:p>
      <w:r>
        <w:t>Cells show coefficient W and p-values</w:t>
      </w:r>
    </w:p>
    <w:p>
      <w:r/>
    </w:p>
    <w:p>
      <w:r/>
    </w:p>
    <w:p>
      <w:r/>
    </w:p>
    <w:p>
      <w:r/>
    </w:p>
    <w:p>
      <w:r/>
    </w:p>
    <w:p>
      <w:r>
        <w:t>Sex Ratio Differences:</w:t>
      </w:r>
    </w:p>
    <w:tbl>
      <w:tblPr>
        <w:tblStyle w:val="TableNormal"/>
        <w:name w:val="Table3"/>
        <w:tabOrder w:val="0"/>
        <w:jc w:val="left"/>
        <w:tblInd w:w="0" w:type="dxa"/>
        <w:tblW w:w="2505" w:type="dxa"/>
        <w:tblLook w:val="0600" w:firstRow="0" w:lastRow="0" w:firstColumn="0" w:lastColumn="0" w:noHBand="1" w:noVBand="1"/>
      </w:tblPr>
      <w:tblGrid>
        <w:gridCol w:w="464"/>
        <w:gridCol w:w="1020"/>
        <w:gridCol w:w="1021"/>
      </w:tblGrid>
      <w:tr>
        <w:trPr>
          <w:tblHeader w:val="0"/>
          <w:cantSplit w:val="0"/>
          <w:trHeight w:val="330" w:hRule="atLeast"/>
        </w:trPr>
        <w:tc>
          <w:tcPr>
            <w:tcW w:w="2505" w:type="dxa"/>
            <w:gridSpan w:val="3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/>
          </w:p>
          <w:p>
            <w:pPr>
              <w:widowControl w:val="0"/>
            </w:pPr>
            <w:r>
              <w:t>MOTIV-POSDEP &amp; BBS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464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rPr>
                <w:sz w:val="18"/>
                <w:szCs w:val="18"/>
              </w:rPr>
              <w:t xml:space="preserve"> </w:t>
            </w:r>
            <w:r/>
          </w:p>
        </w:tc>
        <w:tc>
          <w:tcPr>
            <w:tcW w:w="102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rPr>
                <w:sz w:val="18"/>
                <w:szCs w:val="18"/>
              </w:rPr>
              <w:t>Value</w:t>
            </w:r>
            <w:r/>
          </w:p>
        </w:tc>
        <w:tc>
          <w:tcPr>
            <w:tcW w:w="1021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rPr>
                <w:sz w:val="18"/>
                <w:szCs w:val="18"/>
              </w:rPr>
              <w:t>p</w:t>
            </w:r>
            <w:r/>
          </w:p>
        </w:tc>
      </w:tr>
      <w:tr>
        <w:trPr>
          <w:tblHeader w:val="0"/>
          <w:cantSplit w:val="0"/>
          <w:trHeight w:val="390" w:hRule="atLeast"/>
        </w:trPr>
        <w:tc>
          <w:tcPr>
            <w:tcW w:w="464" w:type="dxa"/>
            <w:shd w:val="none"/>
            <w:tcMar>
              <w:top w:w="12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rPr>
                <w:sz w:val="18"/>
                <w:szCs w:val="18"/>
              </w:rPr>
              <w:t>χ²</w:t>
            </w:r>
            <w:r/>
          </w:p>
        </w:tc>
        <w:tc>
          <w:tcPr>
            <w:tcW w:w="102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</w:pPr>
            <w:r>
              <w:rPr>
                <w:sz w:val="18"/>
                <w:szCs w:val="18"/>
              </w:rPr>
              <w:t>0.274</w:t>
            </w:r>
            <w:r/>
          </w:p>
        </w:tc>
        <w:tc>
          <w:tcPr>
            <w:tcW w:w="1021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</w:pPr>
            <w:r>
              <w:rPr>
                <w:sz w:val="18"/>
                <w:szCs w:val="18"/>
              </w:rPr>
              <w:t>0.601</w:t>
            </w:r>
            <w:r/>
          </w:p>
        </w:tc>
      </w:tr>
      <w:tr>
        <w:trPr>
          <w:tblHeader w:val="0"/>
          <w:cantSplit w:val="0"/>
          <w:trHeight w:val="405" w:hRule="atLeast"/>
        </w:trPr>
        <w:tc>
          <w:tcPr>
            <w:tcW w:w="464" w:type="dxa"/>
            <w:shd w:val="none"/>
            <w:tcMar>
              <w:top w:w="6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rPr>
                <w:sz w:val="18"/>
                <w:szCs w:val="18"/>
              </w:rPr>
              <w:t>N</w:t>
            </w:r>
            <w:r/>
          </w:p>
        </w:tc>
        <w:tc>
          <w:tcPr>
            <w:tcW w:w="1020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</w:pPr>
            <w:r>
              <w:rPr>
                <w:sz w:val="18"/>
                <w:szCs w:val="18"/>
              </w:rPr>
              <w:t>390</w:t>
            </w:r>
            <w:r/>
          </w:p>
        </w:tc>
        <w:tc>
          <w:tcPr>
            <w:tcW w:w="1021" w:type="dxa"/>
            <w:vAlign w:val="center"/>
            <w:shd w:val="none"/>
            <w:tcMar>
              <w:top w:w="20" w:type="dxa"/>
              <w:left w:w="20" w:type="dxa"/>
              <w:bottom w:w="12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rPr>
                <w:sz w:val="18"/>
                <w:szCs w:val="18"/>
              </w:rPr>
              <w:t xml:space="preserve"> </w:t>
            </w:r>
            <w:r/>
          </w:p>
        </w:tc>
      </w:tr>
    </w:tbl>
    <w:p>
      <w:pPr>
        <w:spacing w:before="18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leNormal"/>
        <w:name w:val="Table4"/>
        <w:tabOrder w:val="0"/>
        <w:jc w:val="left"/>
        <w:tblInd w:w="0" w:type="dxa"/>
        <w:tblW w:w="2685" w:type="dxa"/>
        <w:tblLook w:val="0600" w:firstRow="0" w:lastRow="0" w:firstColumn="0" w:lastColumn="0" w:noHBand="1" w:noVBand="1"/>
      </w:tblPr>
      <w:tblGrid>
        <w:gridCol w:w="705"/>
        <w:gridCol w:w="809"/>
        <w:gridCol w:w="1171"/>
      </w:tblGrid>
      <w:tr>
        <w:trPr>
          <w:tblHeader w:val="0"/>
          <w:cantSplit w:val="0"/>
          <w:trHeight w:val="330" w:hRule="atLeast"/>
        </w:trPr>
        <w:tc>
          <w:tcPr>
            <w:tcW w:w="2685" w:type="dxa"/>
            <w:gridSpan w:val="3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t>MOTIV-POSDEP &amp; GreCog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705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1171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</w:tr>
      <w:tr>
        <w:trPr>
          <w:tblHeader w:val="0"/>
          <w:cantSplit w:val="0"/>
          <w:trHeight w:val="390" w:hRule="atLeast"/>
        </w:trPr>
        <w:tc>
          <w:tcPr>
            <w:tcW w:w="705" w:type="dxa"/>
            <w:shd w:val="none"/>
            <w:tcMar>
              <w:top w:w="12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χ²</w:t>
            </w:r>
          </w:p>
        </w:tc>
        <w:tc>
          <w:tcPr>
            <w:tcW w:w="809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1171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705" w:type="dxa"/>
            <w:shd w:val="none"/>
            <w:tcMar>
              <w:top w:w="6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09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1171" w:type="dxa"/>
            <w:vAlign w:val="center"/>
            <w:shd w:val="none"/>
            <w:tcMar>
              <w:top w:w="20" w:type="dxa"/>
              <w:left w:w="20" w:type="dxa"/>
              <w:bottom w:w="12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leNormal"/>
        <w:name w:val="Table5"/>
        <w:tabOrder w:val="0"/>
        <w:jc w:val="left"/>
        <w:tblInd w:w="0" w:type="dxa"/>
        <w:tblW w:w="2685" w:type="dxa"/>
        <w:tblLook w:val="0600" w:firstRow="0" w:lastRow="0" w:firstColumn="0" w:lastColumn="0" w:noHBand="1" w:noVBand="1"/>
      </w:tblPr>
      <w:tblGrid>
        <w:gridCol w:w="810"/>
        <w:gridCol w:w="885"/>
        <w:gridCol w:w="990"/>
      </w:tblGrid>
      <w:tr>
        <w:trPr>
          <w:tblHeader w:val="0"/>
          <w:cantSplit w:val="0"/>
          <w:trHeight w:val="330" w:hRule="atLeast"/>
        </w:trPr>
        <w:tc>
          <w:tcPr>
            <w:tcW w:w="2685" w:type="dxa"/>
            <w:gridSpan w:val="3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BBS &amp; GRECOGVasc</w:t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81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Value</w:t>
            </w:r>
          </w:p>
        </w:tc>
        <w:tc>
          <w:tcPr>
            <w:tcW w:w="99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</w:tr>
      <w:tr>
        <w:trPr>
          <w:tblHeader w:val="0"/>
          <w:cantSplit w:val="0"/>
          <w:trHeight w:val="390" w:hRule="atLeast"/>
        </w:trPr>
        <w:tc>
          <w:tcPr>
            <w:tcW w:w="810" w:type="dxa"/>
            <w:shd w:val="none"/>
            <w:tcMar>
              <w:top w:w="12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χ²</w:t>
            </w:r>
          </w:p>
        </w:tc>
        <w:tc>
          <w:tcPr>
            <w:tcW w:w="885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0.463</w:t>
            </w:r>
          </w:p>
        </w:tc>
        <w:tc>
          <w:tcPr>
            <w:tcW w:w="990" w:type="dxa"/>
            <w:shd w:val="none"/>
            <w:tcMar>
              <w:top w:w="120" w:type="dxa"/>
              <w:left w:w="120" w:type="dxa"/>
              <w:bottom w:w="4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0.496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810" w:type="dxa"/>
            <w:shd w:val="none"/>
            <w:tcMar>
              <w:top w:w="6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885" w:type="dxa"/>
            <w:shd w:val="none"/>
            <w:tcMar>
              <w:top w:w="4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right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tcW w:w="990" w:type="dxa"/>
            <w:vAlign w:val="center"/>
            <w:shd w:val="none"/>
            <w:tcMar>
              <w:top w:w="20" w:type="dxa"/>
              <w:left w:w="20" w:type="dxa"/>
              <w:bottom w:w="120" w:type="dxa"/>
              <w:right w:w="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before="180" w:after="180"/>
      </w:pPr>
      <w:r>
        <w:t xml:space="preserve"> Mood evaluations</w:t>
      </w:r>
    </w:p>
    <w:p>
      <w:r/>
    </w:p>
    <w:tbl>
      <w:tblPr>
        <w:tblStyle w:val="TableNormal"/>
        <w:name w:val="Table6"/>
        <w:tabOrder w:val="0"/>
        <w:jc w:val="left"/>
        <w:tblInd w:w="0" w:type="dxa"/>
        <w:tblW w:w="6839" w:type="dxa"/>
        <w:tblLook w:val="0600" w:firstRow="0" w:lastRow="0" w:firstColumn="0" w:lastColumn="0" w:noHBand="1" w:noVBand="1"/>
      </w:tblPr>
      <w:tblGrid>
        <w:gridCol w:w="1184"/>
        <w:gridCol w:w="2640"/>
        <w:gridCol w:w="1665"/>
        <w:gridCol w:w="1350"/>
      </w:tblGrid>
      <w:tr>
        <w:trPr>
          <w:tblHeader w:val="0"/>
          <w:cantSplit w:val="0"/>
          <w:trHeight w:val="330" w:hRule="atLeast"/>
        </w:trPr>
        <w:tc>
          <w:tcPr>
            <w:tcW w:w="6839" w:type="dxa"/>
            <w:gridSpan w:val="4"/>
            <w:vAlign w:val="center"/>
            <w:shd w:val="none"/>
            <w:tcMar>
              <w:top w:w="60" w:type="dxa"/>
              <w:left w:w="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widowControl w:val="0"/>
            </w:pPr>
            <w:r>
              <w:rPr>
                <w:sz w:val="18"/>
                <w:szCs w:val="18"/>
              </w:rPr>
              <w:t>Independent Samples Mann-Whitney U</w:t>
            </w:r>
            <w:r/>
          </w:p>
        </w:tc>
      </w:tr>
      <w:tr>
        <w:trPr>
          <w:tblHeader w:val="0"/>
          <w:cantSplit w:val="0"/>
          <w:trHeight w:val="330" w:hRule="atLeast"/>
        </w:trPr>
        <w:tc>
          <w:tcPr>
            <w:tcW w:w="1184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/>
          </w:p>
        </w:tc>
        <w:tc>
          <w:tcPr>
            <w:tcW w:w="264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/>
          </w:p>
        </w:tc>
        <w:tc>
          <w:tcPr>
            <w:tcW w:w="1665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rPr>
                <w:b/>
                <w:bCs/>
                <w:sz w:val="18"/>
                <w:szCs w:val="18"/>
              </w:rPr>
              <w:t>Mean difference</w:t>
            </w:r>
            <w:r/>
          </w:p>
        </w:tc>
        <w:tc>
          <w:tcPr>
            <w:tcW w:w="1350" w:type="dxa"/>
            <w:vAlign w:val="center"/>
            <w:shd w:val="none"/>
            <w:tcMar>
              <w:top w:w="60" w:type="dxa"/>
              <w:left w:w="120" w:type="dxa"/>
              <w:bottom w:w="6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333333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</w:pPr>
            <w:r>
              <w:rPr>
                <w:b/>
                <w:bCs/>
                <w:sz w:val="18"/>
                <w:szCs w:val="18"/>
              </w:rPr>
              <w:t>p</w:t>
            </w:r>
            <w:r/>
          </w:p>
        </w:tc>
      </w:tr>
      <w:tr>
        <w:trPr>
          <w:tblHeader w:val="0"/>
          <w:cantSplit w:val="0"/>
          <w:trHeight w:val="465" w:hRule="atLeast"/>
        </w:trPr>
        <w:tc>
          <w:tcPr>
            <w:tcW w:w="1184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HAD-A M0</w:t>
            </w:r>
          </w:p>
        </w:tc>
        <w:tc>
          <w:tcPr>
            <w:tcW w:w="2640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BBS v MOTIV-POSDEP</w:t>
            </w:r>
          </w:p>
        </w:tc>
        <w:tc>
          <w:tcPr>
            <w:tcW w:w="1665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350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0.586</w:t>
            </w:r>
          </w:p>
        </w:tc>
      </w:tr>
      <w:tr>
        <w:trPr>
          <w:tblHeader w:val="0"/>
          <w:cantSplit w:val="0"/>
          <w:trHeight w:val="465" w:hRule="atLeast"/>
        </w:trPr>
        <w:tc>
          <w:tcPr>
            <w:tcW w:w="1184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HAD-D M0</w:t>
            </w:r>
          </w:p>
        </w:tc>
        <w:tc>
          <w:tcPr>
            <w:tcW w:w="2640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BBS v MOTIV-POSDEP</w:t>
            </w:r>
          </w:p>
        </w:tc>
        <w:tc>
          <w:tcPr>
            <w:tcW w:w="1665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1350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</w:tr>
      <w:tr>
        <w:trPr>
          <w:tblHeader w:val="0"/>
          <w:cantSplit w:val="0"/>
          <w:trHeight w:val="465" w:hRule="atLeast"/>
        </w:trPr>
        <w:tc>
          <w:tcPr>
            <w:tcW w:w="1184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HAD-A M6</w:t>
            </w:r>
          </w:p>
        </w:tc>
        <w:tc>
          <w:tcPr>
            <w:tcW w:w="2640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BBS v MOTIV-POSDEP</w:t>
            </w:r>
          </w:p>
        </w:tc>
        <w:tc>
          <w:tcPr>
            <w:tcW w:w="1665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  <w:tc>
          <w:tcPr>
            <w:tcW w:w="1350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</w:t>
            </w:r>
          </w:p>
        </w:tc>
      </w:tr>
      <w:tr>
        <w:trPr>
          <w:tblHeader w:val="0"/>
          <w:cantSplit w:val="0"/>
          <w:trHeight w:val="465" w:hRule="atLeast"/>
        </w:trPr>
        <w:tc>
          <w:tcPr>
            <w:tcW w:w="1184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HAD-D M6</w:t>
            </w:r>
          </w:p>
        </w:tc>
        <w:tc>
          <w:tcPr>
            <w:tcW w:w="2640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BBS v MOTIV-POSDEP</w:t>
            </w:r>
          </w:p>
        </w:tc>
        <w:tc>
          <w:tcPr>
            <w:tcW w:w="1665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&lt;0.001</w:t>
            </w:r>
          </w:p>
        </w:tc>
        <w:tc>
          <w:tcPr>
            <w:tcW w:w="1350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0.804</w:t>
            </w:r>
          </w:p>
        </w:tc>
      </w:tr>
      <w:tr>
        <w:trPr>
          <w:tblHeader w:val="0"/>
          <w:cantSplit w:val="0"/>
          <w:trHeight w:val="465" w:hRule="atLeast"/>
        </w:trPr>
        <w:tc>
          <w:tcPr>
            <w:tcW w:w="1184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CES-D</w:t>
            </w:r>
            <w:r>
              <w:rPr>
                <w:sz w:val="18"/>
                <w:szCs w:val="18"/>
              </w:rPr>
            </w:r>
          </w:p>
        </w:tc>
        <w:tc>
          <w:tcPr>
            <w:tcW w:w="2640" w:type="dxa"/>
            <w:shd w:val="none"/>
            <w:tcMar>
              <w:top w:w="120" w:type="dxa"/>
              <w:left w:w="120" w:type="dxa"/>
              <w:bottom w:w="120" w:type="dxa"/>
              <w:right w:w="12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MOTIV-POSDEP v GRECOGVasc</w:t>
            </w:r>
          </w:p>
        </w:tc>
        <w:tc>
          <w:tcPr>
            <w:tcW w:w="1665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1350" w:type="dxa"/>
            <w:shd w:val="none"/>
            <w:tcMar>
              <w:top w:w="120" w:type="dxa"/>
              <w:left w:w="120" w:type="dxa"/>
              <w:bottom w:w="120" w:type="dxa"/>
              <w:right w:w="30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10" w:space="0" w:color="333333" tmln="2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4700723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&lt;.001</w:t>
            </w:r>
          </w:p>
        </w:tc>
      </w:tr>
    </w:tbl>
    <w:p>
      <w:pPr>
        <w:spacing w:before="180" w:after="180"/>
        <w:rPr>
          <w:color w:val="333333"/>
          <w:sz w:val="18"/>
          <w:szCs w:val="18"/>
        </w:rPr>
      </w:pPr>
      <w:r>
        <w:rPr>
          <w:sz w:val="18"/>
          <w:szCs w:val="18"/>
        </w:rPr>
        <w:t xml:space="preserve"> Positive sign indicates first group &gt; second group</w:t>
      </w:r>
      <w:r>
        <w:rPr>
          <w:color w:val="333333"/>
          <w:sz w:val="18"/>
          <w:szCs w:val="1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erif">
    <w:panose1 w:val="02020603050405020304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Noto Serif CJK SC">
    <w:panose1 w:val="020B0604020202020204"/>
    <w:charset w:val="00"/>
    <w:family w:val="auto"/>
    <w:pitch w:val="default"/>
  </w:font>
  <w:font w:name="Lohit Devanagari">
    <w:panose1 w:val="020B0604020202020204"/>
    <w:charset w:val="00"/>
    <w:family w:val="auto"/>
    <w:pitch w:val="default"/>
  </w:font>
  <w:font w:name="Noto Sans CJK SC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lowerLetter"/>
      <w:suff w:val="tab"/>
      <w:lvlText w:val="(%1)"/>
      <w:lvlJc w:val="left"/>
      <w:pPr>
        <w:ind w:left="360" w:hanging="0"/>
      </w:pPr>
      <w:rPr>
        <w:u w:color="ffffff" w:val="none"/>
      </w:rPr>
    </w:lvl>
    <w:lvl w:ilvl="1">
      <w:start w:val="1"/>
      <w:numFmt w:val="lowerRoman"/>
      <w:suff w:val="tab"/>
      <w:lvlText w:val="(%2)"/>
      <w:lvlJc w:val="right"/>
      <w:pPr>
        <w:ind w:left="1080" w:hanging="0"/>
      </w:pPr>
      <w:rPr>
        <w:u w:color="ffffff" w:val="none"/>
      </w:rPr>
    </w:lvl>
    <w:lvl w:ilvl="2">
      <w:start w:val="1"/>
      <w:numFmt w:val="decimal"/>
      <w:suff w:val="tab"/>
      <w:lvlText w:val="(%3)"/>
      <w:lvlJc w:val="left"/>
      <w:pPr>
        <w:ind w:left="1800" w:hanging="0"/>
      </w:pPr>
      <w:rPr>
        <w:u w:color="ffffff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ffffff" w:val="none"/>
      </w:rPr>
    </w:lvl>
    <w:lvl w:ilvl="4">
      <w:start w:val="1"/>
      <w:numFmt w:val="lowerRoman"/>
      <w:suff w:val="tab"/>
      <w:lvlText w:val="%5)"/>
      <w:lvlJc w:val="right"/>
      <w:pPr>
        <w:ind w:left="3240" w:hanging="0"/>
      </w:pPr>
      <w:rPr>
        <w:u w:color="ffffff" w:val="none"/>
      </w:rPr>
    </w:lvl>
    <w:lvl w:ilvl="5">
      <w:start w:val="1"/>
      <w:numFmt w:val="decimal"/>
      <w:suff w:val="tab"/>
      <w:lvlText w:val="%6)"/>
      <w:lvlJc w:val="left"/>
      <w:pPr>
        <w:ind w:left="3960" w:hanging="0"/>
      </w:pPr>
      <w:rPr>
        <w:u w:color="ffffff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ffffff" w:val="none"/>
      </w:rPr>
    </w:lvl>
    <w:lvl w:ilvl="7">
      <w:start w:val="1"/>
      <w:numFmt w:val="lowerRoman"/>
      <w:suff w:val="tab"/>
      <w:lvlText w:val="%8."/>
      <w:lvlJc w:val="right"/>
      <w:pPr>
        <w:ind w:left="5400" w:hanging="0"/>
      </w:pPr>
      <w:rPr>
        <w:u w:color="ffffff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ffffff" w:val="none"/>
      </w:rPr>
    </w:lvl>
  </w:abstractNum>
  <w:abstractNum w:abstractNumId="2">
    <w:multiLevelType w:val="hybridMultilevel"/>
    <w:name w:val="Numbered list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view w:val="print"/>
  <w:defaultTabStop w:val="709"/>
  <w:autoHyphenation w:val="1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6"/>
    </w:tmLastPosCaret>
    <w:tmLastPosAnchor>
      <w:tmLastPosPgfIdx w:val="3"/>
      <w:tmLastPosIdx w:val="138"/>
    </w:tmLastPosAnchor>
    <w:tmLastPosTblRect w:left="0" w:top="0" w:right="0" w:bottom="0"/>
  </w:tmLastPos>
  <w:tmAppRevision w:date="1774700723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Noto Serif CJK SC" w:cs="Lohit Devanagari"/>
        <w:kern w:val="1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32"/>
      <w:szCs w:val="32"/>
    </w:rPr>
  </w:style>
  <w:style w:type="paragraph" w:styleId="para2">
    <w:name w:val="heading 3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28"/>
      <w:szCs w:val="28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Liberation Sans" w:hAnsi="Liberation Sans" w:eastAsia="Noto Sans CJK SC"/>
      <w:sz w:val="28"/>
      <w:szCs w:val="28"/>
    </w:rPr>
  </w:style>
  <w:style w:type="paragraph" w:styleId="para4">
    <w:name w:val="Body Text"/>
    <w:qFormat/>
    <w:basedOn w:val="para0"/>
    <w:pPr>
      <w:spacing w:after="140" w:line="276" w:lineRule="auto"/>
    </w:pPr>
  </w:style>
  <w:style w:type="paragraph" w:styleId="para5">
    <w:name w:val="List"/>
    <w:qFormat/>
    <w:basedOn w:val="para4"/>
  </w:style>
  <w:style w:type="paragraph" w:styleId="para6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7" w:customStyle="1">
    <w:name w:val="Index"/>
    <w:qFormat/>
    <w:basedOn w:val="para0"/>
    <w:pPr>
      <w:suppressLineNumbers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Noto Serif CJK SC" w:cs="Lohit Devanagari"/>
        <w:kern w:val="1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2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32"/>
      <w:szCs w:val="32"/>
    </w:rPr>
  </w:style>
  <w:style w:type="paragraph" w:styleId="para2">
    <w:name w:val="heading 3"/>
    <w:qFormat/>
    <w:basedOn w:val="para0"/>
    <w:next w:val="para0"/>
    <w:pPr>
      <w:spacing w:before="360" w:after="200" w:line="360" w:lineRule="auto"/>
      <w:keepNext/>
      <w:keepLines/>
    </w:pPr>
    <w:rPr>
      <w:b/>
      <w:bCs/>
      <w:sz w:val="28"/>
      <w:szCs w:val="28"/>
    </w:rPr>
  </w:style>
  <w:style w:type="paragraph" w:styleId="para3" w:customStyle="1">
    <w:name w:val="Heading"/>
    <w:qFormat/>
    <w:basedOn w:val="para0"/>
    <w:next w:val="para4"/>
    <w:pPr>
      <w:spacing w:before="240" w:after="120"/>
      <w:keepNext/>
    </w:pPr>
    <w:rPr>
      <w:rFonts w:ascii="Liberation Sans" w:hAnsi="Liberation Sans" w:eastAsia="Noto Sans CJK SC"/>
      <w:sz w:val="28"/>
      <w:szCs w:val="28"/>
    </w:rPr>
  </w:style>
  <w:style w:type="paragraph" w:styleId="para4">
    <w:name w:val="Body Text"/>
    <w:qFormat/>
    <w:basedOn w:val="para0"/>
    <w:pPr>
      <w:spacing w:after="140" w:line="276" w:lineRule="auto"/>
    </w:pPr>
  </w:style>
  <w:style w:type="paragraph" w:styleId="para5">
    <w:name w:val="List"/>
    <w:qFormat/>
    <w:basedOn w:val="para4"/>
  </w:style>
  <w:style w:type="paragraph" w:styleId="para6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7" w:customStyle="1">
    <w:name w:val="Index"/>
    <w:qFormat/>
    <w:basedOn w:val="para0"/>
    <w:pPr>
      <w:suppressLineNumbers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oto Serif CJK SC"/>
        <a:cs typeface="Lohit Devanagari"/>
      </a:majorFont>
      <a:minorFont>
        <a:latin typeface="Liberation Serif"/>
        <a:ea typeface="Noto Serif CJK SC"/>
        <a:cs typeface="Lohit Devanaga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SAdasd</cp:lastModifiedBy>
  <cp:revision>3</cp:revision>
  <dcterms:created xsi:type="dcterms:W3CDTF">2026-03-24T16:57:29Z</dcterms:created>
  <dcterms:modified xsi:type="dcterms:W3CDTF">2026-03-28T12:25:23Z</dcterms:modified>
</cp:coreProperties>
</file>