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F56FDB" w14:textId="77777777" w:rsidR="005A0FA7" w:rsidRDefault="005A0FA7" w:rsidP="005A0FA7">
      <w:pPr>
        <w:spacing w:before="360" w:after="160"/>
      </w:pPr>
      <w:r>
        <w:rPr>
          <w:b/>
          <w:sz w:val="28"/>
        </w:rPr>
        <w:t>Supplementary Information</w:t>
      </w:r>
    </w:p>
    <w:p w14:paraId="09D11A20" w14:textId="77777777" w:rsidR="005A0FA7" w:rsidRDefault="005A0FA7" w:rsidP="005A0FA7">
      <w:pPr>
        <w:jc w:val="center"/>
      </w:pPr>
      <w:r>
        <w:rPr>
          <w:noProof/>
        </w:rPr>
        <w:drawing>
          <wp:inline distT="0" distB="0" distL="0" distR="0" wp14:anchorId="369C7371" wp14:editId="2B057B5C">
            <wp:extent cx="5486400" cy="182143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4"/>
                    <a:stretch>
                      <a:fillRect/>
                    </a:stretch>
                  </pic:blipFill>
                  <pic:spPr>
                    <a:xfrm>
                      <a:off x="0" y="0"/>
                      <a:ext cx="5486400" cy="1821436"/>
                    </a:xfrm>
                    <a:prstGeom prst="rect">
                      <a:avLst/>
                    </a:prstGeom>
                  </pic:spPr>
                </pic:pic>
              </a:graphicData>
            </a:graphic>
          </wp:inline>
        </w:drawing>
      </w:r>
    </w:p>
    <w:p w14:paraId="35E3F0E0" w14:textId="77777777" w:rsidR="005A0FA7" w:rsidRDefault="005A0FA7" w:rsidP="005A0FA7">
      <w:pPr>
        <w:spacing w:after="240"/>
      </w:pPr>
      <w:r>
        <w:rPr>
          <w:b/>
          <w:sz w:val="18"/>
        </w:rPr>
        <w:t xml:space="preserve">Supplementary Figure S1. </w:t>
      </w:r>
      <w:r>
        <w:rPr>
          <w:sz w:val="18"/>
        </w:rPr>
        <w:t>Thermal Exposure, Population Vulnerability, and TEPI by City and Year. The horizontal axis represents the normalized thermal exposure score, the vertical axis represents the normalized vulnerability score, and bubble size reflects TEPI.</w:t>
      </w:r>
    </w:p>
    <w:p w14:paraId="049CA482" w14:textId="77777777" w:rsidR="005A0FA7" w:rsidRDefault="005A0FA7" w:rsidP="005A0FA7">
      <w:pPr>
        <w:jc w:val="center"/>
      </w:pPr>
      <w:r>
        <w:rPr>
          <w:noProof/>
        </w:rPr>
        <w:drawing>
          <wp:inline distT="0" distB="0" distL="0" distR="0" wp14:anchorId="0C5A52F0" wp14:editId="002C84DA">
            <wp:extent cx="5486400" cy="204359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pic:nvPicPr>
                  <pic:blipFill>
                    <a:blip r:embed="rId5"/>
                    <a:stretch>
                      <a:fillRect/>
                    </a:stretch>
                  </pic:blipFill>
                  <pic:spPr>
                    <a:xfrm>
                      <a:off x="0" y="0"/>
                      <a:ext cx="5486400" cy="2043592"/>
                    </a:xfrm>
                    <a:prstGeom prst="rect">
                      <a:avLst/>
                    </a:prstGeom>
                  </pic:spPr>
                </pic:pic>
              </a:graphicData>
            </a:graphic>
          </wp:inline>
        </w:drawing>
      </w:r>
    </w:p>
    <w:p w14:paraId="085FCE9F" w14:textId="77777777" w:rsidR="005A0FA7" w:rsidRDefault="005A0FA7" w:rsidP="005A0FA7">
      <w:pPr>
        <w:spacing w:after="240"/>
      </w:pPr>
      <w:r>
        <w:rPr>
          <w:b/>
          <w:sz w:val="18"/>
        </w:rPr>
        <w:t xml:space="preserve">Supplementary Figure S2. </w:t>
      </w:r>
      <w:r>
        <w:rPr>
          <w:sz w:val="18"/>
        </w:rPr>
        <w:t>Change in TEPI from 2015 to 2025 by Street. Positive values indicate worsening thermal inequity, while negative values indicate improvement.</w:t>
      </w:r>
    </w:p>
    <w:p w14:paraId="5E865080" w14:textId="77777777" w:rsidR="005A0FA7" w:rsidRDefault="005A0FA7" w:rsidP="005A0FA7">
      <w:pPr>
        <w:jc w:val="center"/>
      </w:pPr>
      <w:r>
        <w:rPr>
          <w:noProof/>
        </w:rPr>
        <w:drawing>
          <wp:inline distT="0" distB="0" distL="0" distR="0" wp14:anchorId="46F1537F" wp14:editId="331D00BC">
            <wp:extent cx="5486400" cy="22548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pic:nvPicPr>
                  <pic:blipFill>
                    <a:blip r:embed="rId6"/>
                    <a:stretch>
                      <a:fillRect/>
                    </a:stretch>
                  </pic:blipFill>
                  <pic:spPr>
                    <a:xfrm>
                      <a:off x="0" y="0"/>
                      <a:ext cx="5486400" cy="2254810"/>
                    </a:xfrm>
                    <a:prstGeom prst="rect">
                      <a:avLst/>
                    </a:prstGeom>
                  </pic:spPr>
                </pic:pic>
              </a:graphicData>
            </a:graphic>
          </wp:inline>
        </w:drawing>
      </w:r>
    </w:p>
    <w:p w14:paraId="61CB14D1" w14:textId="77777777" w:rsidR="005A0FA7" w:rsidRDefault="005A0FA7" w:rsidP="005A0FA7">
      <w:pPr>
        <w:spacing w:after="240"/>
      </w:pPr>
      <w:r>
        <w:rPr>
          <w:b/>
          <w:sz w:val="18"/>
        </w:rPr>
        <w:t xml:space="preserve">Supplementary Figure S3. </w:t>
      </w:r>
      <w:r>
        <w:rPr>
          <w:sz w:val="18"/>
        </w:rPr>
        <w:t>TEPI Quintile Distribution by City and Year. Q1 represents the lowest TEPI quintile and Q5 represents the highest TEPI quintile.</w:t>
      </w:r>
    </w:p>
    <w:p w14:paraId="46EA795B" w14:textId="77777777" w:rsidR="005A0FA7" w:rsidRDefault="005A0FA7" w:rsidP="005A0FA7">
      <w:pPr>
        <w:jc w:val="center"/>
      </w:pPr>
      <w:r>
        <w:rPr>
          <w:noProof/>
        </w:rPr>
        <w:lastRenderedPageBreak/>
        <w:drawing>
          <wp:inline distT="0" distB="0" distL="0" distR="0" wp14:anchorId="7AB20D1A" wp14:editId="1BAD925D">
            <wp:extent cx="5486400" cy="36453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pic:nvPicPr>
                  <pic:blipFill>
                    <a:blip r:embed="rId7"/>
                    <a:stretch>
                      <a:fillRect/>
                    </a:stretch>
                  </pic:blipFill>
                  <pic:spPr>
                    <a:xfrm>
                      <a:off x="0" y="0"/>
                      <a:ext cx="5486400" cy="3645340"/>
                    </a:xfrm>
                    <a:prstGeom prst="rect">
                      <a:avLst/>
                    </a:prstGeom>
                  </pic:spPr>
                </pic:pic>
              </a:graphicData>
            </a:graphic>
          </wp:inline>
        </w:drawing>
      </w:r>
    </w:p>
    <w:p w14:paraId="2C3E7353" w14:textId="77777777" w:rsidR="005A0FA7" w:rsidRDefault="005A0FA7" w:rsidP="005A0FA7">
      <w:pPr>
        <w:spacing w:after="240"/>
      </w:pPr>
      <w:r>
        <w:rPr>
          <w:b/>
          <w:sz w:val="18"/>
        </w:rPr>
        <w:t xml:space="preserve">Supplementary Figure S4. </w:t>
      </w:r>
      <w:proofErr w:type="spellStart"/>
      <w:r>
        <w:rPr>
          <w:sz w:val="18"/>
        </w:rPr>
        <w:t>Getis</w:t>
      </w:r>
      <w:proofErr w:type="spellEnd"/>
      <w:r>
        <w:rPr>
          <w:sz w:val="18"/>
        </w:rPr>
        <w:t>-Ord Gi* Hot Spots and Cold Spots of TEPI. Hot spots identify statistically significant concentrations of high TEPI values, while cold spots identify statistically significant concentrations of low TEPI values.</w:t>
      </w:r>
    </w:p>
    <w:p w14:paraId="72DAF3C4" w14:textId="77777777" w:rsidR="005A0FA7" w:rsidRDefault="005A0FA7" w:rsidP="005A0FA7">
      <w:pPr>
        <w:jc w:val="center"/>
      </w:pPr>
      <w:r>
        <w:rPr>
          <w:noProof/>
        </w:rPr>
        <w:drawing>
          <wp:inline distT="0" distB="0" distL="0" distR="0" wp14:anchorId="6CD4AD42" wp14:editId="3607B503">
            <wp:extent cx="5486400" cy="227882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pic:nvPicPr>
                  <pic:blipFill>
                    <a:blip r:embed="rId8"/>
                    <a:stretch>
                      <a:fillRect/>
                    </a:stretch>
                  </pic:blipFill>
                  <pic:spPr>
                    <a:xfrm>
                      <a:off x="0" y="0"/>
                      <a:ext cx="5486400" cy="2278824"/>
                    </a:xfrm>
                    <a:prstGeom prst="rect">
                      <a:avLst/>
                    </a:prstGeom>
                  </pic:spPr>
                </pic:pic>
              </a:graphicData>
            </a:graphic>
          </wp:inline>
        </w:drawing>
      </w:r>
    </w:p>
    <w:p w14:paraId="54C6A462" w14:textId="77777777" w:rsidR="005A0FA7" w:rsidRDefault="005A0FA7" w:rsidP="005A0FA7">
      <w:pPr>
        <w:spacing w:after="240"/>
      </w:pPr>
      <w:r>
        <w:rPr>
          <w:b/>
          <w:sz w:val="18"/>
        </w:rPr>
        <w:t xml:space="preserve">Supplementary Figure S5. </w:t>
      </w:r>
      <w:r>
        <w:rPr>
          <w:sz w:val="18"/>
        </w:rPr>
        <w:t>Inequality Metrics for TEPI in Beijing and Shenzhen. The left panel shows Gini coefficients. The right panel shows Theil T decomposition into between-group and within-group components.</w:t>
      </w:r>
    </w:p>
    <w:p w14:paraId="639D18F1" w14:textId="77777777" w:rsidR="005A0FA7" w:rsidRDefault="005A0FA7" w:rsidP="005A0FA7">
      <w:pPr>
        <w:jc w:val="center"/>
      </w:pPr>
      <w:r>
        <w:rPr>
          <w:noProof/>
        </w:rPr>
        <w:lastRenderedPageBreak/>
        <w:drawing>
          <wp:inline distT="0" distB="0" distL="0" distR="0" wp14:anchorId="60B80DA1" wp14:editId="0FEFB5A7">
            <wp:extent cx="5486400" cy="30064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pic:nvPicPr>
                  <pic:blipFill>
                    <a:blip r:embed="rId9"/>
                    <a:stretch>
                      <a:fillRect/>
                    </a:stretch>
                  </pic:blipFill>
                  <pic:spPr>
                    <a:xfrm>
                      <a:off x="0" y="0"/>
                      <a:ext cx="5486400" cy="3006416"/>
                    </a:xfrm>
                    <a:prstGeom prst="rect">
                      <a:avLst/>
                    </a:prstGeom>
                  </pic:spPr>
                </pic:pic>
              </a:graphicData>
            </a:graphic>
          </wp:inline>
        </w:drawing>
      </w:r>
    </w:p>
    <w:p w14:paraId="1CD2D17C" w14:textId="77777777" w:rsidR="005A0FA7" w:rsidRDefault="005A0FA7" w:rsidP="005A0FA7">
      <w:pPr>
        <w:spacing w:after="240"/>
      </w:pPr>
      <w:r>
        <w:rPr>
          <w:b/>
          <w:sz w:val="18"/>
        </w:rPr>
        <w:t xml:space="preserve">Supplementary Figure S6. </w:t>
      </w:r>
      <w:r>
        <w:rPr>
          <w:sz w:val="18"/>
        </w:rPr>
        <w:t>Gini Coefficients of TEPI Across Beijing, Shenzhen, and Shanghai. Values summarize the temporal change in TEPI inequality across the three cities.</w:t>
      </w:r>
    </w:p>
    <w:p w14:paraId="5EBB4628" w14:textId="77777777" w:rsidR="005A0FA7" w:rsidRDefault="005A0FA7" w:rsidP="005A0FA7">
      <w:pPr>
        <w:jc w:val="center"/>
      </w:pPr>
      <w:r>
        <w:rPr>
          <w:noProof/>
        </w:rPr>
        <w:drawing>
          <wp:inline distT="0" distB="0" distL="0" distR="0" wp14:anchorId="7A188B2D" wp14:editId="1AA03071">
            <wp:extent cx="5486400" cy="453954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pic:nvPicPr>
                  <pic:blipFill>
                    <a:blip r:embed="rId10"/>
                    <a:stretch>
                      <a:fillRect/>
                    </a:stretch>
                  </pic:blipFill>
                  <pic:spPr>
                    <a:xfrm>
                      <a:off x="0" y="0"/>
                      <a:ext cx="5486400" cy="4539547"/>
                    </a:xfrm>
                    <a:prstGeom prst="rect">
                      <a:avLst/>
                    </a:prstGeom>
                  </pic:spPr>
                </pic:pic>
              </a:graphicData>
            </a:graphic>
          </wp:inline>
        </w:drawing>
      </w:r>
    </w:p>
    <w:p w14:paraId="517F4AA4" w14:textId="77777777" w:rsidR="005A0FA7" w:rsidRDefault="005A0FA7" w:rsidP="005A0FA7">
      <w:pPr>
        <w:spacing w:after="240"/>
      </w:pPr>
      <w:r>
        <w:rPr>
          <w:b/>
          <w:sz w:val="18"/>
        </w:rPr>
        <w:t xml:space="preserve">Supplementary Figure S7. </w:t>
      </w:r>
      <w:r>
        <w:rPr>
          <w:sz w:val="18"/>
        </w:rPr>
        <w:t>Correlation Matrix of TEPI Sub-Indicators in Beijing and Shenzhen, 2020. Values are Pearson correlation coefficients based on the pooled street-level sample for the year 2020.</w:t>
      </w:r>
    </w:p>
    <w:p w14:paraId="1B5F54D1" w14:textId="77777777" w:rsidR="005A0FA7" w:rsidRDefault="005A0FA7" w:rsidP="005A0FA7">
      <w:pPr>
        <w:jc w:val="center"/>
      </w:pPr>
      <w:r>
        <w:rPr>
          <w:noProof/>
        </w:rPr>
        <w:lastRenderedPageBreak/>
        <w:drawing>
          <wp:inline distT="0" distB="0" distL="0" distR="0" wp14:anchorId="0E6F1288" wp14:editId="562696B7">
            <wp:extent cx="5486400" cy="223135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pic:nvPicPr>
                  <pic:blipFill>
                    <a:blip r:embed="rId11"/>
                    <a:stretch>
                      <a:fillRect/>
                    </a:stretch>
                  </pic:blipFill>
                  <pic:spPr>
                    <a:xfrm>
                      <a:off x="0" y="0"/>
                      <a:ext cx="5486400" cy="2231356"/>
                    </a:xfrm>
                    <a:prstGeom prst="rect">
                      <a:avLst/>
                    </a:prstGeom>
                  </pic:spPr>
                </pic:pic>
              </a:graphicData>
            </a:graphic>
          </wp:inline>
        </w:drawing>
      </w:r>
    </w:p>
    <w:p w14:paraId="3345843C" w14:textId="77777777" w:rsidR="005A0FA7" w:rsidRDefault="005A0FA7" w:rsidP="005A0FA7">
      <w:pPr>
        <w:spacing w:after="240"/>
      </w:pPr>
      <w:r>
        <w:rPr>
          <w:b/>
          <w:sz w:val="18"/>
        </w:rPr>
        <w:t xml:space="preserve">Supplementary Figure S8. </w:t>
      </w:r>
      <w:r>
        <w:rPr>
          <w:sz w:val="18"/>
        </w:rPr>
        <w:t>GWR Local R² for TEPI Decomposition in 2020. Higher local R² values indicate stronger local model fit.</w:t>
      </w:r>
    </w:p>
    <w:p w14:paraId="0CEEAF04" w14:textId="77777777" w:rsidR="005A0FA7" w:rsidRDefault="005A0FA7" w:rsidP="005A0FA7">
      <w:pPr>
        <w:jc w:val="center"/>
      </w:pPr>
      <w:r>
        <w:rPr>
          <w:noProof/>
        </w:rPr>
        <w:drawing>
          <wp:inline distT="0" distB="0" distL="0" distR="0" wp14:anchorId="2170C3DF" wp14:editId="7E17103C">
            <wp:extent cx="5486400" cy="158285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pic:nvPicPr>
                  <pic:blipFill>
                    <a:blip r:embed="rId12"/>
                    <a:stretch>
                      <a:fillRect/>
                    </a:stretch>
                  </pic:blipFill>
                  <pic:spPr>
                    <a:xfrm>
                      <a:off x="0" y="0"/>
                      <a:ext cx="5486400" cy="1582853"/>
                    </a:xfrm>
                    <a:prstGeom prst="rect">
                      <a:avLst/>
                    </a:prstGeom>
                  </pic:spPr>
                </pic:pic>
              </a:graphicData>
            </a:graphic>
          </wp:inline>
        </w:drawing>
      </w:r>
    </w:p>
    <w:p w14:paraId="3BBCEF4A" w14:textId="77777777" w:rsidR="005A0FA7" w:rsidRDefault="005A0FA7" w:rsidP="005A0FA7">
      <w:pPr>
        <w:spacing w:after="240"/>
      </w:pPr>
      <w:r>
        <w:rPr>
          <w:b/>
          <w:sz w:val="18"/>
        </w:rPr>
        <w:t xml:space="preserve">Supplementary Figure S9. </w:t>
      </w:r>
      <w:r>
        <w:rPr>
          <w:sz w:val="18"/>
        </w:rPr>
        <w:t>GWR Local Component Weights for the Dominant Sub-Indicators of TEPI in Beijing.</w:t>
      </w:r>
    </w:p>
    <w:p w14:paraId="5A34C49F" w14:textId="77777777" w:rsidR="005A0FA7" w:rsidRDefault="005A0FA7" w:rsidP="005A0FA7">
      <w:pPr>
        <w:jc w:val="center"/>
      </w:pPr>
      <w:r>
        <w:rPr>
          <w:noProof/>
        </w:rPr>
        <w:drawing>
          <wp:inline distT="0" distB="0" distL="0" distR="0" wp14:anchorId="55D6BFE9" wp14:editId="2A8D4010">
            <wp:extent cx="5486400" cy="15852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pic:nvPicPr>
                  <pic:blipFill>
                    <a:blip r:embed="rId13"/>
                    <a:stretch>
                      <a:fillRect/>
                    </a:stretch>
                  </pic:blipFill>
                  <pic:spPr>
                    <a:xfrm>
                      <a:off x="0" y="0"/>
                      <a:ext cx="5486400" cy="1585235"/>
                    </a:xfrm>
                    <a:prstGeom prst="rect">
                      <a:avLst/>
                    </a:prstGeom>
                  </pic:spPr>
                </pic:pic>
              </a:graphicData>
            </a:graphic>
          </wp:inline>
        </w:drawing>
      </w:r>
    </w:p>
    <w:p w14:paraId="3567E054" w14:textId="77777777" w:rsidR="005A0FA7" w:rsidRDefault="005A0FA7" w:rsidP="005A0FA7">
      <w:pPr>
        <w:spacing w:after="240"/>
      </w:pPr>
      <w:r>
        <w:rPr>
          <w:b/>
          <w:sz w:val="18"/>
        </w:rPr>
        <w:t xml:space="preserve">Supplementary Figure S10. </w:t>
      </w:r>
      <w:r>
        <w:rPr>
          <w:sz w:val="18"/>
        </w:rPr>
        <w:t>GWR Local Component Weights for the Dominant Sub-Indicators of TEPI in Shenzhen.</w:t>
      </w:r>
    </w:p>
    <w:p w14:paraId="6D15C4D0" w14:textId="77777777" w:rsidR="005A0FA7" w:rsidRDefault="005A0FA7" w:rsidP="005A0FA7">
      <w:pPr>
        <w:jc w:val="center"/>
      </w:pPr>
      <w:r>
        <w:rPr>
          <w:noProof/>
        </w:rPr>
        <w:lastRenderedPageBreak/>
        <w:drawing>
          <wp:inline distT="0" distB="0" distL="0" distR="0" wp14:anchorId="07DF674E" wp14:editId="208AC55F">
            <wp:extent cx="5486400" cy="339369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pic:nvPicPr>
                  <pic:blipFill>
                    <a:blip r:embed="rId14"/>
                    <a:stretch>
                      <a:fillRect/>
                    </a:stretch>
                  </pic:blipFill>
                  <pic:spPr>
                    <a:xfrm>
                      <a:off x="0" y="0"/>
                      <a:ext cx="5486400" cy="3393697"/>
                    </a:xfrm>
                    <a:prstGeom prst="rect">
                      <a:avLst/>
                    </a:prstGeom>
                  </pic:spPr>
                </pic:pic>
              </a:graphicData>
            </a:graphic>
          </wp:inline>
        </w:drawing>
      </w:r>
    </w:p>
    <w:p w14:paraId="772C58A5" w14:textId="77777777" w:rsidR="005A0FA7" w:rsidRDefault="005A0FA7" w:rsidP="005A0FA7">
      <w:pPr>
        <w:spacing w:after="240"/>
      </w:pPr>
      <w:r>
        <w:rPr>
          <w:b/>
          <w:sz w:val="18"/>
        </w:rPr>
        <w:t xml:space="preserve">Supplementary Figure S11. </w:t>
      </w:r>
      <w:r>
        <w:rPr>
          <w:sz w:val="18"/>
        </w:rPr>
        <w:t>Comparison of Global and Spatially Varying Decomposition Model Performance for TEPI in 2020.</w:t>
      </w:r>
    </w:p>
    <w:p w14:paraId="7B51A028" w14:textId="77777777" w:rsidR="005A0FA7" w:rsidRDefault="005A0FA7" w:rsidP="005A0FA7">
      <w:pPr>
        <w:jc w:val="center"/>
      </w:pPr>
      <w:r>
        <w:rPr>
          <w:noProof/>
        </w:rPr>
        <w:drawing>
          <wp:inline distT="0" distB="0" distL="0" distR="0" wp14:anchorId="06C2A389" wp14:editId="74085FF6">
            <wp:extent cx="5486400" cy="328666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pic:nvPicPr>
                  <pic:blipFill>
                    <a:blip r:embed="rId15"/>
                    <a:stretch>
                      <a:fillRect/>
                    </a:stretch>
                  </pic:blipFill>
                  <pic:spPr>
                    <a:xfrm>
                      <a:off x="0" y="0"/>
                      <a:ext cx="5486400" cy="3286664"/>
                    </a:xfrm>
                    <a:prstGeom prst="rect">
                      <a:avLst/>
                    </a:prstGeom>
                  </pic:spPr>
                </pic:pic>
              </a:graphicData>
            </a:graphic>
          </wp:inline>
        </w:drawing>
      </w:r>
    </w:p>
    <w:p w14:paraId="057A263B" w14:textId="77777777" w:rsidR="005A0FA7" w:rsidRDefault="005A0FA7" w:rsidP="005A0FA7">
      <w:pPr>
        <w:spacing w:after="240"/>
      </w:pPr>
      <w:r>
        <w:rPr>
          <w:b/>
          <w:sz w:val="18"/>
        </w:rPr>
        <w:t xml:space="preserve">Supplementary Figure S12. </w:t>
      </w:r>
      <w:r>
        <w:rPr>
          <w:sz w:val="18"/>
        </w:rPr>
        <w:t>Standardized OLS Association Comparison Across Beijing, Shenzhen, and Shanghai.</w:t>
      </w:r>
    </w:p>
    <w:p w14:paraId="3A19571D" w14:textId="77777777" w:rsidR="005A0FA7" w:rsidRDefault="005A0FA7" w:rsidP="005A0FA7">
      <w:pPr>
        <w:jc w:val="center"/>
      </w:pPr>
      <w:r>
        <w:rPr>
          <w:noProof/>
        </w:rPr>
        <w:lastRenderedPageBreak/>
        <w:drawing>
          <wp:inline distT="0" distB="0" distL="0" distR="0" wp14:anchorId="00564C1E" wp14:editId="09B2D62C">
            <wp:extent cx="5486400" cy="186731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pic:nvPicPr>
                  <pic:blipFill>
                    <a:blip r:embed="rId16"/>
                    <a:stretch>
                      <a:fillRect/>
                    </a:stretch>
                  </pic:blipFill>
                  <pic:spPr>
                    <a:xfrm>
                      <a:off x="0" y="0"/>
                      <a:ext cx="5486400" cy="1867316"/>
                    </a:xfrm>
                    <a:prstGeom prst="rect">
                      <a:avLst/>
                    </a:prstGeom>
                  </pic:spPr>
                </pic:pic>
              </a:graphicData>
            </a:graphic>
          </wp:inline>
        </w:drawing>
      </w:r>
    </w:p>
    <w:p w14:paraId="792FB76B" w14:textId="77777777" w:rsidR="005A0FA7" w:rsidRDefault="005A0FA7" w:rsidP="005A0FA7">
      <w:pPr>
        <w:spacing w:after="240"/>
      </w:pPr>
      <w:r>
        <w:rPr>
          <w:b/>
          <w:sz w:val="18"/>
        </w:rPr>
        <w:t xml:space="preserve">Supplementary Figure S13. </w:t>
      </w:r>
      <w:r>
        <w:rPr>
          <w:sz w:val="18"/>
        </w:rPr>
        <w:t>Thermal Exposure in Shanghai Across All Streets.</w:t>
      </w:r>
    </w:p>
    <w:p w14:paraId="289D48EB" w14:textId="77777777" w:rsidR="008B07A6" w:rsidRDefault="008B07A6"/>
    <w:sectPr w:rsidR="008B07A6" w:rsidSect="005A0FA7">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0FA7"/>
    <w:rsid w:val="00066677"/>
    <w:rsid w:val="003A4E89"/>
    <w:rsid w:val="00556784"/>
    <w:rsid w:val="005A0FA7"/>
    <w:rsid w:val="008167AB"/>
    <w:rsid w:val="008B07A6"/>
    <w:rsid w:val="00987B63"/>
    <w:rsid w:val="00D31E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5E76F2"/>
  <w15:chartTrackingRefBased/>
  <w15:docId w15:val="{A3F2E5C5-486F-4575-8290-0D07F664D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0FA7"/>
    <w:pPr>
      <w:spacing w:after="120" w:line="276" w:lineRule="auto"/>
    </w:pPr>
    <w:rPr>
      <w:rFonts w:ascii="Times New Roman" w:eastAsiaTheme="minorEastAsia" w:hAnsi="Times New Roman"/>
      <w:kern w:val="0"/>
      <w:sz w:val="20"/>
      <w:szCs w:val="22"/>
      <w14:ligatures w14:val="none"/>
    </w:rPr>
  </w:style>
  <w:style w:type="paragraph" w:styleId="Heading1">
    <w:name w:val="heading 1"/>
    <w:basedOn w:val="Normal"/>
    <w:next w:val="Normal"/>
    <w:link w:val="Heading1Char"/>
    <w:uiPriority w:val="9"/>
    <w:qFormat/>
    <w:rsid w:val="005A0FA7"/>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5A0FA7"/>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5A0FA7"/>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5A0FA7"/>
    <w:pPr>
      <w:keepNext/>
      <w:keepLines/>
      <w:spacing w:before="80" w:after="40" w:line="278" w:lineRule="auto"/>
      <w:outlineLvl w:val="3"/>
    </w:pPr>
    <w:rPr>
      <w:rFonts w:asciiTheme="minorHAnsi" w:eastAsiaTheme="majorEastAsia" w:hAnsiTheme="minorHAnsi"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5A0FA7"/>
    <w:pPr>
      <w:keepNext/>
      <w:keepLines/>
      <w:spacing w:before="80" w:after="40" w:line="278" w:lineRule="auto"/>
      <w:outlineLvl w:val="4"/>
    </w:pPr>
    <w:rPr>
      <w:rFonts w:asciiTheme="minorHAnsi" w:eastAsiaTheme="majorEastAsia" w:hAnsiTheme="minorHAnsi"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5A0FA7"/>
    <w:pPr>
      <w:keepNext/>
      <w:keepLines/>
      <w:spacing w:before="40" w:after="0" w:line="278" w:lineRule="auto"/>
      <w:outlineLvl w:val="5"/>
    </w:pPr>
    <w:rPr>
      <w:rFonts w:asciiTheme="minorHAnsi" w:eastAsiaTheme="majorEastAsia" w:hAnsiTheme="minorHAnsi"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5A0FA7"/>
    <w:pPr>
      <w:keepNext/>
      <w:keepLines/>
      <w:spacing w:before="40" w:after="0" w:line="278" w:lineRule="auto"/>
      <w:outlineLvl w:val="6"/>
    </w:pPr>
    <w:rPr>
      <w:rFonts w:asciiTheme="minorHAnsi" w:eastAsiaTheme="majorEastAsia" w:hAnsiTheme="minorHAnsi"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5A0FA7"/>
    <w:pPr>
      <w:keepNext/>
      <w:keepLines/>
      <w:spacing w:after="0" w:line="278" w:lineRule="auto"/>
      <w:outlineLvl w:val="7"/>
    </w:pPr>
    <w:rPr>
      <w:rFonts w:asciiTheme="minorHAnsi" w:eastAsiaTheme="majorEastAsia" w:hAnsiTheme="minorHAnsi"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5A0FA7"/>
    <w:pPr>
      <w:keepNext/>
      <w:keepLines/>
      <w:spacing w:after="0" w:line="278" w:lineRule="auto"/>
      <w:outlineLvl w:val="8"/>
    </w:pPr>
    <w:rPr>
      <w:rFonts w:asciiTheme="minorHAnsi" w:eastAsiaTheme="majorEastAsia" w:hAnsiTheme="minorHAnsi"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0FA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A0FA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A0FA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A0FA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A0FA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A0FA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A0FA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A0FA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A0FA7"/>
    <w:rPr>
      <w:rFonts w:eastAsiaTheme="majorEastAsia" w:cstheme="majorBidi"/>
      <w:color w:val="272727" w:themeColor="text1" w:themeTint="D8"/>
    </w:rPr>
  </w:style>
  <w:style w:type="paragraph" w:styleId="Title">
    <w:name w:val="Title"/>
    <w:basedOn w:val="Normal"/>
    <w:next w:val="Normal"/>
    <w:link w:val="TitleChar"/>
    <w:uiPriority w:val="10"/>
    <w:qFormat/>
    <w:rsid w:val="005A0FA7"/>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5A0FA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A0FA7"/>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5A0FA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A0FA7"/>
    <w:pPr>
      <w:spacing w:before="160" w:after="160" w:line="278" w:lineRule="auto"/>
      <w:jc w:val="center"/>
    </w:pPr>
    <w:rPr>
      <w:rFonts w:asciiTheme="minorHAnsi" w:eastAsiaTheme="minorHAnsi" w:hAnsiTheme="minorHAnsi"/>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5A0FA7"/>
    <w:rPr>
      <w:i/>
      <w:iCs/>
      <w:color w:val="404040" w:themeColor="text1" w:themeTint="BF"/>
    </w:rPr>
  </w:style>
  <w:style w:type="paragraph" w:styleId="ListParagraph">
    <w:name w:val="List Paragraph"/>
    <w:basedOn w:val="Normal"/>
    <w:uiPriority w:val="34"/>
    <w:qFormat/>
    <w:rsid w:val="005A0FA7"/>
    <w:pPr>
      <w:spacing w:after="160" w:line="278" w:lineRule="auto"/>
      <w:ind w:left="720"/>
      <w:contextualSpacing/>
    </w:pPr>
    <w:rPr>
      <w:rFonts w:asciiTheme="minorHAnsi" w:eastAsiaTheme="minorHAnsi" w:hAnsiTheme="minorHAnsi"/>
      <w:kern w:val="2"/>
      <w:sz w:val="24"/>
      <w:szCs w:val="24"/>
      <w14:ligatures w14:val="standardContextual"/>
    </w:rPr>
  </w:style>
  <w:style w:type="character" w:styleId="IntenseEmphasis">
    <w:name w:val="Intense Emphasis"/>
    <w:basedOn w:val="DefaultParagraphFont"/>
    <w:uiPriority w:val="21"/>
    <w:qFormat/>
    <w:rsid w:val="005A0FA7"/>
    <w:rPr>
      <w:i/>
      <w:iCs/>
      <w:color w:val="0F4761" w:themeColor="accent1" w:themeShade="BF"/>
    </w:rPr>
  </w:style>
  <w:style w:type="paragraph" w:styleId="IntenseQuote">
    <w:name w:val="Intense Quote"/>
    <w:basedOn w:val="Normal"/>
    <w:next w:val="Normal"/>
    <w:link w:val="IntenseQuoteChar"/>
    <w:uiPriority w:val="30"/>
    <w:qFormat/>
    <w:rsid w:val="005A0FA7"/>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5A0FA7"/>
    <w:rPr>
      <w:i/>
      <w:iCs/>
      <w:color w:val="0F4761" w:themeColor="accent1" w:themeShade="BF"/>
    </w:rPr>
  </w:style>
  <w:style w:type="character" w:styleId="IntenseReference">
    <w:name w:val="Intense Reference"/>
    <w:basedOn w:val="DefaultParagraphFont"/>
    <w:uiPriority w:val="32"/>
    <w:qFormat/>
    <w:rsid w:val="005A0FA7"/>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313</Words>
  <Characters>1786</Characters>
  <Application>Microsoft Office Word</Application>
  <DocSecurity>0</DocSecurity>
  <Lines>14</Lines>
  <Paragraphs>4</Paragraphs>
  <ScaleCrop>false</ScaleCrop>
  <Company/>
  <LinksUpToDate>false</LinksUpToDate>
  <CharactersWithSpaces>2095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Sachin Maharnur</dc:creator>
  <cp:keywords/>
  <dc:description/>
  <cp:lastModifiedBy>Sachin Maharnur</cp:lastModifiedBy>
  <cp:revision>1</cp:revision>
  <dcterms:created xsi:type="dcterms:W3CDTF">2026-04-21T09:54:00Z</dcterms:created>
  <dcterms:modified xsi:type="dcterms:W3CDTF">2026-04-21T09:54:00Z</dcterms:modified>
</cp:coreProperties>
</file>