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B83D8" w14:textId="61FCC1D1" w:rsidR="00A513CF" w:rsidRDefault="00A513CF" w:rsidP="00A513CF">
      <w:pPr>
        <w:jc w:val="center"/>
        <w:rPr>
          <w:rFonts w:ascii="Times New Roman" w:hAnsi="Times New Roman" w:cs="Times New Roman" w:hint="eastAsia"/>
          <w:b/>
          <w:bCs/>
          <w:sz w:val="28"/>
          <w:szCs w:val="28"/>
        </w:rPr>
      </w:pPr>
      <w:r w:rsidRPr="00A513CF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proofErr w:type="spellStart"/>
      <w:r w:rsidR="00B6780D">
        <w:rPr>
          <w:rFonts w:ascii="Times New Roman" w:hAnsi="Times New Roman" w:cs="Times New Roman" w:hint="eastAsia"/>
          <w:b/>
          <w:bCs/>
          <w:sz w:val="28"/>
          <w:szCs w:val="28"/>
        </w:rPr>
        <w:t>Informations</w:t>
      </w:r>
      <w:proofErr w:type="spellEnd"/>
    </w:p>
    <w:p w14:paraId="74F3EBBF" w14:textId="61F57846" w:rsidR="00A513CF" w:rsidRPr="00B2562A" w:rsidRDefault="00A513CF" w:rsidP="00A513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114D54" w14:textId="4EAD7D58" w:rsidR="002E381C" w:rsidRPr="002E381C" w:rsidRDefault="002E381C" w:rsidP="002E381C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</w:pPr>
      <w:r w:rsidRPr="002E381C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Multi‑omics elucidation of gut microbiota‑driven regulation of muscle fatty acid composition in </w:t>
      </w:r>
      <w:r w:rsidR="00B6780D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32"/>
        </w:rPr>
        <w:t>c</w:t>
      </w:r>
      <w:r w:rsidRPr="00B6780D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32"/>
        </w:rPr>
        <w:t>ommon</w:t>
      </w:r>
      <w:r w:rsidRPr="00B6780D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 </w:t>
      </w:r>
      <w:r w:rsidRPr="00B6780D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32"/>
        </w:rPr>
        <w:t>c</w:t>
      </w:r>
      <w:r w:rsidRPr="00B6780D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>arp</w:t>
      </w:r>
    </w:p>
    <w:p w14:paraId="0FD0464B" w14:textId="77777777" w:rsidR="002E381C" w:rsidRDefault="002E381C" w:rsidP="002E381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  <w:vertAlign w:val="superscript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Jingquan Li</w:t>
      </w:r>
      <w:r w:rsidRPr="0097736F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#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, </w:t>
      </w:r>
      <w:bookmarkStart w:id="0" w:name="OLE_LINK24"/>
      <w:proofErr w:type="spellStart"/>
      <w:r>
        <w:rPr>
          <w:rFonts w:ascii="Times New Roman" w:hAnsi="Times New Roman" w:cs="Times New Roman" w:hint="eastAsia"/>
          <w:b/>
          <w:bCs/>
          <w:sz w:val="24"/>
          <w:szCs w:val="28"/>
        </w:rPr>
        <w:t>Xiaochang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Huang</w:t>
      </w:r>
      <w:bookmarkEnd w:id="0"/>
      <w:r w:rsidRPr="0061644E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2#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, Yun Ye</w:t>
      </w:r>
      <w:r w:rsidRPr="0097736F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#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, </w:t>
      </w:r>
      <w:bookmarkStart w:id="1" w:name="OLE_LINK20"/>
      <w:proofErr w:type="spellStart"/>
      <w:r>
        <w:rPr>
          <w:rFonts w:ascii="Times New Roman" w:hAnsi="Times New Roman" w:cs="Times New Roman" w:hint="eastAsia"/>
          <w:b/>
          <w:bCs/>
          <w:sz w:val="24"/>
          <w:szCs w:val="28"/>
        </w:rPr>
        <w:t>Y</w:t>
      </w:r>
      <w:r>
        <w:rPr>
          <w:rFonts w:ascii="Times New Roman" w:hAnsi="Times New Roman" w:cs="Times New Roman"/>
          <w:b/>
          <w:bCs/>
          <w:sz w:val="24"/>
          <w:szCs w:val="28"/>
        </w:rPr>
        <w:t>uanxiu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</w:rPr>
        <w:t xml:space="preserve"> Wang</w:t>
      </w:r>
      <w:r w:rsidRPr="0097736F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</w:rPr>
        <w:t>Zuqing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</w:rPr>
        <w:t xml:space="preserve"> Yang</w:t>
      </w:r>
      <w:r w:rsidRPr="00AC61EA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</w:rPr>
        <w:t>Qiubai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</w:rPr>
        <w:t xml:space="preserve"> Zhou</w:t>
      </w:r>
      <w:r w:rsidRPr="00AC61EA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3</w:t>
      </w:r>
      <w:r w:rsidRPr="00252C28">
        <w:rPr>
          <w:rFonts w:ascii="Times New Roman" w:hAnsi="Times New Roman" w:cs="Times New Roman"/>
          <w:b/>
          <w:bCs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8"/>
        </w:rPr>
        <w:t>Hailin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Xia</w:t>
      </w:r>
      <w:r w:rsidRPr="0061644E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8"/>
        </w:rPr>
        <w:t>Wanchang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Zhang</w:t>
      </w:r>
      <w:bookmarkEnd w:id="1"/>
      <w:r w:rsidRPr="0097736F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2*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, Hui Yang</w:t>
      </w:r>
      <w:bookmarkStart w:id="2" w:name="OLE_LINK234"/>
      <w:bookmarkStart w:id="3" w:name="OLE_LINK235"/>
      <w:r w:rsidRPr="0097736F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1*</w:t>
      </w:r>
      <w:bookmarkEnd w:id="2"/>
      <w:bookmarkEnd w:id="3"/>
    </w:p>
    <w:p w14:paraId="44255642" w14:textId="77777777" w:rsidR="002E381C" w:rsidRPr="0061644E" w:rsidRDefault="002E381C" w:rsidP="002E381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76AEAFE" w14:textId="77777777" w:rsidR="002E381C" w:rsidRPr="0097736F" w:rsidRDefault="002E381C" w:rsidP="002E381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6D4537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1</w:t>
      </w:r>
      <w:r w:rsidRPr="006D4537">
        <w:rPr>
          <w:rFonts w:ascii="Times New Roman" w:hAnsi="Times New Roman" w:cs="Times New Roman"/>
          <w:b/>
          <w:bCs/>
          <w:sz w:val="24"/>
          <w:szCs w:val="28"/>
        </w:rPr>
        <w:t>College of Bioscience and Bioengineering,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6D4537">
        <w:rPr>
          <w:rFonts w:ascii="Times New Roman" w:hAnsi="Times New Roman" w:cs="Times New Roman"/>
          <w:b/>
          <w:bCs/>
          <w:sz w:val="24"/>
          <w:szCs w:val="28"/>
        </w:rPr>
        <w:t>Jiangxi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6D4537">
        <w:rPr>
          <w:rFonts w:ascii="Times New Roman" w:hAnsi="Times New Roman" w:cs="Times New Roman"/>
          <w:b/>
          <w:bCs/>
          <w:sz w:val="24"/>
          <w:szCs w:val="28"/>
        </w:rPr>
        <w:t>Agricultural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6D4537">
        <w:rPr>
          <w:rFonts w:ascii="Times New Roman" w:hAnsi="Times New Roman" w:cs="Times New Roman"/>
          <w:b/>
          <w:bCs/>
          <w:sz w:val="24"/>
          <w:szCs w:val="28"/>
        </w:rPr>
        <w:t>University</w:t>
      </w:r>
      <w:r>
        <w:rPr>
          <w:rFonts w:ascii="Times New Roman" w:hAnsi="Times New Roman" w:cs="Times New Roman"/>
          <w:b/>
          <w:bCs/>
          <w:sz w:val="24"/>
          <w:szCs w:val="28"/>
        </w:rPr>
        <w:t>,</w:t>
      </w:r>
      <w:r w:rsidRPr="00F6173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567B26">
        <w:rPr>
          <w:rFonts w:ascii="Times New Roman" w:hAnsi="Times New Roman" w:cs="Times New Roman"/>
          <w:b/>
          <w:bCs/>
          <w:sz w:val="24"/>
          <w:szCs w:val="28"/>
        </w:rPr>
        <w:t>Nanchang, 330045, China</w:t>
      </w:r>
    </w:p>
    <w:p w14:paraId="0BC5FFAC" w14:textId="77777777" w:rsidR="002E381C" w:rsidRDefault="002E381C" w:rsidP="002E381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6D4537">
        <w:rPr>
          <w:rFonts w:ascii="Times New Roman" w:hAnsi="Times New Roman" w:cs="Times New Roman" w:hint="eastAsia"/>
          <w:b/>
          <w:bCs/>
          <w:sz w:val="24"/>
          <w:szCs w:val="28"/>
          <w:vertAlign w:val="superscript"/>
        </w:rPr>
        <w:t>2</w:t>
      </w:r>
      <w:r w:rsidRPr="006D4537">
        <w:rPr>
          <w:rFonts w:ascii="Times New Roman" w:hAnsi="Times New Roman" w:cs="Times New Roman" w:hint="eastAsia"/>
          <w:b/>
          <w:bCs/>
          <w:sz w:val="24"/>
          <w:szCs w:val="28"/>
        </w:rPr>
        <w:t>School of Life Sciences, Nanchang University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, Nanchang, 33001, China</w:t>
      </w:r>
    </w:p>
    <w:p w14:paraId="45EE2474" w14:textId="77777777" w:rsidR="002E381C" w:rsidRDefault="002E381C" w:rsidP="002E381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AC61EA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3</w:t>
      </w:r>
      <w:r w:rsidRPr="00567B26">
        <w:rPr>
          <w:rFonts w:ascii="Times New Roman" w:hAnsi="Times New Roman" w:cs="Times New Roman"/>
          <w:b/>
          <w:bCs/>
          <w:sz w:val="24"/>
          <w:szCs w:val="28"/>
        </w:rPr>
        <w:t xml:space="preserve">Key Laboratory of Featured </w:t>
      </w:r>
      <w:proofErr w:type="spellStart"/>
      <w:r w:rsidRPr="00567B26">
        <w:rPr>
          <w:rFonts w:ascii="Times New Roman" w:hAnsi="Times New Roman" w:cs="Times New Roman"/>
          <w:b/>
          <w:bCs/>
          <w:sz w:val="24"/>
          <w:szCs w:val="28"/>
        </w:rPr>
        <w:t>Hydrobios</w:t>
      </w:r>
      <w:proofErr w:type="spellEnd"/>
      <w:r w:rsidRPr="00567B26">
        <w:rPr>
          <w:rFonts w:ascii="Times New Roman" w:hAnsi="Times New Roman" w:cs="Times New Roman"/>
          <w:b/>
          <w:bCs/>
          <w:sz w:val="24"/>
          <w:szCs w:val="28"/>
        </w:rPr>
        <w:t xml:space="preserve"> Nutritional Physiology and Healthy Breeding, </w:t>
      </w:r>
      <w:bookmarkStart w:id="4" w:name="OLE_LINK236"/>
      <w:bookmarkStart w:id="5" w:name="OLE_LINK237"/>
      <w:r w:rsidRPr="00567B26">
        <w:rPr>
          <w:rFonts w:ascii="Times New Roman" w:hAnsi="Times New Roman" w:cs="Times New Roman"/>
          <w:b/>
          <w:bCs/>
          <w:sz w:val="24"/>
          <w:szCs w:val="28"/>
        </w:rPr>
        <w:t>Nanchang, 330045, China</w:t>
      </w:r>
      <w:bookmarkEnd w:id="4"/>
      <w:bookmarkEnd w:id="5"/>
    </w:p>
    <w:p w14:paraId="5BF94E1B" w14:textId="77777777" w:rsidR="002E381C" w:rsidRPr="006D4537" w:rsidRDefault="002E381C" w:rsidP="002E381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AC61EA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#</w:t>
      </w:r>
      <w:r w:rsidRPr="00B3070B">
        <w:t xml:space="preserve"> </w:t>
      </w:r>
      <w:r w:rsidRPr="00B3070B">
        <w:rPr>
          <w:rFonts w:ascii="Times New Roman" w:hAnsi="Times New Roman" w:cs="Times New Roman"/>
          <w:b/>
          <w:bCs/>
          <w:sz w:val="24"/>
          <w:szCs w:val="28"/>
        </w:rPr>
        <w:t xml:space="preserve">These authors contributed equally: Jingquan Li,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8"/>
        </w:rPr>
        <w:t>Xiaochang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Huang,</w:t>
      </w:r>
      <w:r w:rsidRPr="00B3070B">
        <w:rPr>
          <w:rFonts w:ascii="Times New Roman" w:hAnsi="Times New Roman" w:cs="Times New Roman"/>
          <w:b/>
          <w:bCs/>
          <w:sz w:val="24"/>
          <w:szCs w:val="28"/>
        </w:rPr>
        <w:t xml:space="preserve"> Yun Ye.</w:t>
      </w:r>
    </w:p>
    <w:p w14:paraId="06364518" w14:textId="77777777" w:rsidR="002E381C" w:rsidRDefault="002E381C" w:rsidP="002E381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*Corresponding: </w:t>
      </w:r>
      <w:r w:rsidRPr="006D4537">
        <w:rPr>
          <w:rFonts w:ascii="Times New Roman" w:hAnsi="Times New Roman" w:cs="Times New Roman"/>
          <w:b/>
          <w:bCs/>
          <w:sz w:val="24"/>
          <w:szCs w:val="28"/>
        </w:rPr>
        <w:t>yhuijxau@hotmail.com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, </w:t>
      </w:r>
      <w:r w:rsidRPr="006D4537">
        <w:rPr>
          <w:rFonts w:ascii="Times New Roman" w:hAnsi="Times New Roman" w:cs="Times New Roman" w:hint="eastAsia"/>
          <w:b/>
          <w:bCs/>
          <w:sz w:val="24"/>
          <w:szCs w:val="28"/>
        </w:rPr>
        <w:t>wanchangzhang@ncu.edu.cn</w:t>
      </w:r>
    </w:p>
    <w:p w14:paraId="172AA095" w14:textId="6BADAEA1" w:rsidR="00A513CF" w:rsidRPr="00A513CF" w:rsidRDefault="00A513CF" w:rsidP="00A513C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13CF">
        <w:rPr>
          <w:rFonts w:ascii="Times New Roman" w:hAnsi="Times New Roman" w:cs="Times New Roman" w:hint="eastAsia"/>
          <w:b/>
          <w:bCs/>
          <w:sz w:val="24"/>
          <w:szCs w:val="24"/>
        </w:rPr>
        <w:cr/>
      </w:r>
    </w:p>
    <w:p w14:paraId="34F79A88" w14:textId="77777777" w:rsidR="00A513CF" w:rsidRPr="002E381C" w:rsidRDefault="00A513CF" w:rsidP="00A513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9F7B72" w14:textId="77777777" w:rsidR="00A513CF" w:rsidRDefault="00A513C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18FD561" w14:textId="74FE08EE" w:rsidR="00D46D27" w:rsidRDefault="00623CDB">
      <w:pPr>
        <w:rPr>
          <w:rFonts w:ascii="Times New Roman" w:hAnsi="Times New Roman" w:cs="Times New Roman" w:hint="eastAsia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2B6FDD6" wp14:editId="13AE9E0B">
            <wp:extent cx="5274310" cy="6917690"/>
            <wp:effectExtent l="0" t="0" r="2540" b="0"/>
            <wp:docPr id="902630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94E8" w14:textId="7ACF9560" w:rsidR="007624BB" w:rsidRPr="007624BB" w:rsidRDefault="00D46D27" w:rsidP="00D46D27">
      <w:pPr>
        <w:rPr>
          <w:rFonts w:ascii="Times New Roman" w:eastAsia="宋体" w:hAnsi="Times New Roman" w:cs="Times New Roman"/>
          <w:sz w:val="24"/>
          <w:szCs w:val="24"/>
        </w:rPr>
      </w:pPr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1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7624B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624BB" w:rsidRPr="007624BB">
        <w:rPr>
          <w:rFonts w:ascii="Times New Roman" w:hAnsi="Times New Roman" w:cs="Times New Roman"/>
          <w:b/>
          <w:bCs/>
          <w:sz w:val="24"/>
          <w:szCs w:val="28"/>
        </w:rPr>
        <w:t xml:space="preserve">Comparison of fatty acid composition between sexes. </w:t>
      </w:r>
      <w:r w:rsidR="007624BB" w:rsidRPr="007624BB">
        <w:rPr>
          <w:rFonts w:ascii="Times New Roman" w:hAnsi="Times New Roman" w:cs="Times New Roman"/>
          <w:sz w:val="24"/>
          <w:szCs w:val="28"/>
        </w:rPr>
        <w:t xml:space="preserve">Differential abundance between female and male fish was assessed using the Wilcoxon rank-sum test. Significance levels are denoted as follows: </w:t>
      </w:r>
      <w:r w:rsidR="007624BB" w:rsidRPr="00A1247B">
        <w:rPr>
          <w:rFonts w:ascii="Times New Roman" w:hAnsi="Times New Roman" w:cs="Times New Roman"/>
          <w:sz w:val="24"/>
          <w:szCs w:val="24"/>
        </w:rPr>
        <w:t>“</w:t>
      </w:r>
      <w:r w:rsidR="007624BB" w:rsidRPr="00A1247B">
        <w:rPr>
          <w:rFonts w:ascii="Times New Roman" w:hAnsi="Times New Roman" w:cs="Times New Roman" w:hint="eastAsia"/>
          <w:sz w:val="24"/>
          <w:szCs w:val="24"/>
        </w:rPr>
        <w:t>*</w:t>
      </w:r>
      <w:r w:rsidR="007624BB" w:rsidRPr="00A1247B">
        <w:rPr>
          <w:rFonts w:ascii="Times New Roman" w:hAnsi="Times New Roman" w:cs="Times New Roman"/>
          <w:sz w:val="24"/>
          <w:szCs w:val="24"/>
        </w:rPr>
        <w:t>”</w:t>
      </w:r>
      <w:r w:rsidR="007624BB" w:rsidRPr="00A1247B">
        <w:rPr>
          <w:rFonts w:ascii="Times New Roman" w:hAnsi="Times New Roman" w:cs="Times New Roman" w:hint="eastAsia"/>
          <w:sz w:val="24"/>
          <w:szCs w:val="24"/>
        </w:rPr>
        <w:t xml:space="preserve"> indicated 0.01 &lt; P &lt; 0.05, </w:t>
      </w:r>
      <w:r w:rsidR="007624BB" w:rsidRPr="00A1247B">
        <w:rPr>
          <w:rFonts w:ascii="Times New Roman" w:hAnsi="Times New Roman" w:cs="Times New Roman"/>
          <w:sz w:val="24"/>
          <w:szCs w:val="24"/>
        </w:rPr>
        <w:t>“</w:t>
      </w:r>
      <w:r w:rsidR="007624BB" w:rsidRPr="00A1247B">
        <w:rPr>
          <w:rFonts w:ascii="Times New Roman" w:hAnsi="Times New Roman" w:cs="Times New Roman" w:hint="eastAsia"/>
          <w:sz w:val="24"/>
          <w:szCs w:val="24"/>
        </w:rPr>
        <w:t>**</w:t>
      </w:r>
      <w:r w:rsidR="007624BB" w:rsidRPr="00A1247B">
        <w:rPr>
          <w:rFonts w:ascii="Times New Roman" w:hAnsi="Times New Roman" w:cs="Times New Roman"/>
          <w:sz w:val="24"/>
          <w:szCs w:val="24"/>
        </w:rPr>
        <w:t>”</w:t>
      </w:r>
      <w:r w:rsidR="007624BB" w:rsidRPr="00A1247B">
        <w:rPr>
          <w:rFonts w:ascii="Times New Roman" w:hAnsi="Times New Roman" w:cs="Times New Roman" w:hint="eastAsia"/>
          <w:sz w:val="24"/>
          <w:szCs w:val="24"/>
        </w:rPr>
        <w:t xml:space="preserve"> indicates 0.001&lt; P &lt; 0.01, and </w:t>
      </w:r>
      <w:r w:rsidR="007624BB" w:rsidRPr="00A1247B">
        <w:rPr>
          <w:rFonts w:ascii="Times New Roman" w:hAnsi="Times New Roman" w:cs="Times New Roman"/>
          <w:sz w:val="24"/>
          <w:szCs w:val="24"/>
        </w:rPr>
        <w:t>“</w:t>
      </w:r>
      <w:r w:rsidR="007624BB" w:rsidRPr="00A1247B">
        <w:rPr>
          <w:rFonts w:ascii="Times New Roman" w:hAnsi="Times New Roman" w:cs="Times New Roman" w:hint="eastAsia"/>
          <w:sz w:val="24"/>
          <w:szCs w:val="24"/>
        </w:rPr>
        <w:t>***</w:t>
      </w:r>
      <w:r w:rsidR="007624BB" w:rsidRPr="00A1247B">
        <w:rPr>
          <w:rFonts w:ascii="Times New Roman" w:hAnsi="Times New Roman" w:cs="Times New Roman"/>
          <w:sz w:val="24"/>
          <w:szCs w:val="24"/>
        </w:rPr>
        <w:t>”</w:t>
      </w:r>
      <w:r w:rsidR="007624BB" w:rsidRPr="00A1247B">
        <w:rPr>
          <w:rFonts w:ascii="Times New Roman" w:hAnsi="Times New Roman" w:cs="Times New Roman" w:hint="eastAsia"/>
          <w:sz w:val="24"/>
          <w:szCs w:val="24"/>
        </w:rPr>
        <w:t xml:space="preserve"> indicates P &lt; 0.001</w:t>
      </w:r>
      <w:r w:rsidR="007624BB" w:rsidRPr="007624BB">
        <w:rPr>
          <w:rFonts w:ascii="Times New Roman" w:hAnsi="Times New Roman" w:cs="Times New Roman"/>
          <w:sz w:val="24"/>
          <w:szCs w:val="28"/>
        </w:rPr>
        <w:t>. The boxplots depict the 25th and 75th percentiles, the median (middle horizontal line), and whiskers extend to points within 1.5 times the interquartile range.</w:t>
      </w:r>
    </w:p>
    <w:p w14:paraId="642C65F5" w14:textId="0A713C41" w:rsidR="00D46D27" w:rsidRDefault="00A06E7E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25C41B8" wp14:editId="636A581A">
            <wp:extent cx="5274310" cy="5807075"/>
            <wp:effectExtent l="0" t="0" r="2540" b="3175"/>
            <wp:docPr id="11166239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3049" w14:textId="5D054CC5" w:rsidR="001C4057" w:rsidRPr="00A1247B" w:rsidRDefault="009C26F1" w:rsidP="001C4057">
      <w:pPr>
        <w:rPr>
          <w:rFonts w:ascii="Times New Roman" w:hAnsi="Times New Roman" w:cs="Times New Roman"/>
          <w:sz w:val="24"/>
          <w:szCs w:val="28"/>
        </w:rPr>
      </w:pPr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A1247B" w:rsidRPr="00A1247B">
        <w:rPr>
          <w:rFonts w:ascii="Times New Roman" w:hAnsi="Times New Roman" w:cs="Times New Roman"/>
          <w:b/>
          <w:bCs/>
          <w:sz w:val="24"/>
          <w:szCs w:val="28"/>
        </w:rPr>
        <w:t xml:space="preserve">Fatty acid profiles of different family populations. </w:t>
      </w:r>
      <w:r w:rsidR="00A1247B" w:rsidRPr="00A1247B">
        <w:rPr>
          <w:rFonts w:ascii="Times New Roman" w:hAnsi="Times New Roman" w:cs="Times New Roman"/>
          <w:sz w:val="24"/>
          <w:szCs w:val="28"/>
        </w:rPr>
        <w:t>Boxplots display the distribution of fatty acids, with significant differences across populations assessed by the Kruskal-</w:t>
      </w:r>
      <w:proofErr w:type="gramStart"/>
      <w:r w:rsidR="00A1247B" w:rsidRPr="00A1247B">
        <w:rPr>
          <w:rFonts w:ascii="Times New Roman" w:hAnsi="Times New Roman" w:cs="Times New Roman"/>
          <w:sz w:val="24"/>
          <w:szCs w:val="28"/>
        </w:rPr>
        <w:t>Wallis</w:t>
      </w:r>
      <w:proofErr w:type="gramEnd"/>
      <w:r w:rsidR="00A1247B" w:rsidRPr="00A1247B">
        <w:rPr>
          <w:rFonts w:ascii="Times New Roman" w:hAnsi="Times New Roman" w:cs="Times New Roman"/>
          <w:sz w:val="24"/>
          <w:szCs w:val="28"/>
        </w:rPr>
        <w:t xml:space="preserve"> test and marked with asterisks (</w:t>
      </w:r>
      <w:r w:rsidR="00A1247B">
        <w:rPr>
          <w:rFonts w:ascii="Times New Roman" w:hAnsi="Times New Roman" w:cs="Times New Roman"/>
          <w:sz w:val="24"/>
          <w:szCs w:val="28"/>
        </w:rPr>
        <w:t>“</w:t>
      </w:r>
      <w:r w:rsidR="00A1247B" w:rsidRPr="00A1247B">
        <w:rPr>
          <w:rFonts w:ascii="Times New Roman" w:hAnsi="Times New Roman" w:cs="Times New Roman"/>
          <w:sz w:val="24"/>
          <w:szCs w:val="28"/>
        </w:rPr>
        <w:t>*</w:t>
      </w:r>
      <w:r w:rsidR="00A1247B">
        <w:rPr>
          <w:rFonts w:ascii="Times New Roman" w:hAnsi="Times New Roman" w:cs="Times New Roman"/>
          <w:sz w:val="24"/>
          <w:szCs w:val="28"/>
        </w:rPr>
        <w:t>”</w:t>
      </w:r>
      <w:r w:rsidR="00A1247B" w:rsidRPr="00A1247B">
        <w:rPr>
          <w:rFonts w:ascii="Times New Roman" w:hAnsi="Times New Roman" w:cs="Times New Roman"/>
          <w:sz w:val="24"/>
          <w:szCs w:val="28"/>
        </w:rPr>
        <w:t xml:space="preserve">: 0.01 &lt; P &lt; 0.05, </w:t>
      </w:r>
      <w:r w:rsidR="00A1247B">
        <w:rPr>
          <w:rFonts w:ascii="Times New Roman" w:hAnsi="Times New Roman" w:cs="Times New Roman"/>
          <w:sz w:val="24"/>
          <w:szCs w:val="28"/>
        </w:rPr>
        <w:t>“</w:t>
      </w:r>
      <w:r w:rsidR="00A1247B" w:rsidRPr="00A1247B">
        <w:rPr>
          <w:rFonts w:ascii="Times New Roman" w:hAnsi="Times New Roman" w:cs="Times New Roman"/>
          <w:sz w:val="24"/>
          <w:szCs w:val="28"/>
        </w:rPr>
        <w:t>**</w:t>
      </w:r>
      <w:r w:rsidR="00A1247B">
        <w:rPr>
          <w:rFonts w:ascii="Times New Roman" w:hAnsi="Times New Roman" w:cs="Times New Roman"/>
          <w:sz w:val="24"/>
          <w:szCs w:val="28"/>
        </w:rPr>
        <w:t>”</w:t>
      </w:r>
      <w:r w:rsidR="00A1247B" w:rsidRPr="00A1247B">
        <w:rPr>
          <w:rFonts w:ascii="Times New Roman" w:hAnsi="Times New Roman" w:cs="Times New Roman"/>
          <w:sz w:val="24"/>
          <w:szCs w:val="28"/>
        </w:rPr>
        <w:t xml:space="preserve">: 0.001 &lt; P &lt; 0.01, </w:t>
      </w:r>
      <w:r w:rsidR="00A1247B">
        <w:rPr>
          <w:rFonts w:ascii="Times New Roman" w:hAnsi="Times New Roman" w:cs="Times New Roman"/>
          <w:sz w:val="24"/>
          <w:szCs w:val="28"/>
        </w:rPr>
        <w:t>“</w:t>
      </w:r>
      <w:r w:rsidR="00A1247B" w:rsidRPr="00A1247B">
        <w:rPr>
          <w:rFonts w:ascii="Times New Roman" w:hAnsi="Times New Roman" w:cs="Times New Roman"/>
          <w:sz w:val="24"/>
          <w:szCs w:val="28"/>
        </w:rPr>
        <w:t>***</w:t>
      </w:r>
      <w:r w:rsidR="00A1247B">
        <w:rPr>
          <w:rFonts w:ascii="Times New Roman" w:hAnsi="Times New Roman" w:cs="Times New Roman"/>
          <w:sz w:val="24"/>
          <w:szCs w:val="28"/>
        </w:rPr>
        <w:t>”</w:t>
      </w:r>
      <w:r w:rsidR="00A1247B" w:rsidRPr="00A1247B">
        <w:rPr>
          <w:rFonts w:ascii="Times New Roman" w:hAnsi="Times New Roman" w:cs="Times New Roman"/>
          <w:sz w:val="24"/>
          <w:szCs w:val="28"/>
        </w:rPr>
        <w:t>: P &lt; 0.001). Boxplot styling is consistent with Supplementary Fig. 2.</w:t>
      </w:r>
    </w:p>
    <w:p w14:paraId="20EA3242" w14:textId="61292095" w:rsidR="009C26F1" w:rsidRPr="001C4057" w:rsidRDefault="009C26F1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D94D6FB" w14:textId="77777777" w:rsidR="009C26F1" w:rsidRDefault="009C26F1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1260A7E" w14:textId="28FFC5C9" w:rsidR="009C26F1" w:rsidRDefault="009C26F1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A50762D" wp14:editId="048E9C7F">
            <wp:extent cx="5274310" cy="2780030"/>
            <wp:effectExtent l="0" t="0" r="2540" b="1270"/>
            <wp:docPr id="6542132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C2FA" w14:textId="6D690DB7" w:rsidR="009C26F1" w:rsidRDefault="009C26F1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A1247B" w:rsidRPr="00A1247B">
        <w:rPr>
          <w:rFonts w:ascii="Times New Roman" w:hAnsi="Times New Roman" w:cs="Times New Roman"/>
          <w:b/>
          <w:bCs/>
          <w:sz w:val="24"/>
          <w:szCs w:val="28"/>
        </w:rPr>
        <w:t xml:space="preserve">Rarefaction curves assessing sampling adequacy and sequencing depth. </w:t>
      </w:r>
      <w:r w:rsidR="00A1247B" w:rsidRPr="00A1247B">
        <w:rPr>
          <w:rFonts w:ascii="Times New Roman" w:hAnsi="Times New Roman" w:cs="Times New Roman"/>
          <w:sz w:val="24"/>
          <w:szCs w:val="28"/>
        </w:rPr>
        <w:t xml:space="preserve">(a) Rarefaction curves of </w:t>
      </w:r>
      <w:r w:rsidR="00A1247B" w:rsidRPr="00EE49B4">
        <w:rPr>
          <w:rFonts w:ascii="Times New Roman" w:hAnsi="Times New Roman" w:cs="Times New Roman"/>
          <w:sz w:val="24"/>
          <w:szCs w:val="36"/>
        </w:rPr>
        <w:t>amplicon sequence variants (ASVs)</w:t>
      </w:r>
      <w:r w:rsidR="00A1247B" w:rsidRPr="00A1247B">
        <w:rPr>
          <w:rFonts w:ascii="Times New Roman" w:hAnsi="Times New Roman" w:cs="Times New Roman"/>
          <w:sz w:val="24"/>
          <w:szCs w:val="28"/>
        </w:rPr>
        <w:t xml:space="preserve"> for all 217 individual samples, indicating the adequacy of sampling effort. (b) Rarefaction curves of ASVs grouped by sequencing depth, demonstrating the relationship between sequenc</w:t>
      </w:r>
      <w:r w:rsidR="00A1247B">
        <w:rPr>
          <w:rFonts w:ascii="Times New Roman" w:hAnsi="Times New Roman" w:cs="Times New Roman" w:hint="eastAsia"/>
          <w:sz w:val="24"/>
          <w:szCs w:val="28"/>
        </w:rPr>
        <w:t>ing</w:t>
      </w:r>
      <w:r w:rsidR="00A1247B" w:rsidRPr="00A1247B">
        <w:rPr>
          <w:rFonts w:ascii="Times New Roman" w:hAnsi="Times New Roman" w:cs="Times New Roman"/>
          <w:sz w:val="24"/>
          <w:szCs w:val="28"/>
        </w:rPr>
        <w:t xml:space="preserve"> </w:t>
      </w:r>
      <w:r w:rsidR="00A1247B">
        <w:rPr>
          <w:rFonts w:ascii="Times New Roman" w:hAnsi="Times New Roman" w:cs="Times New Roman" w:hint="eastAsia"/>
          <w:sz w:val="24"/>
          <w:szCs w:val="28"/>
        </w:rPr>
        <w:t>depth</w:t>
      </w:r>
      <w:r w:rsidR="00A1247B" w:rsidRPr="00A1247B">
        <w:rPr>
          <w:rFonts w:ascii="Times New Roman" w:hAnsi="Times New Roman" w:cs="Times New Roman"/>
          <w:sz w:val="24"/>
          <w:szCs w:val="28"/>
        </w:rPr>
        <w:t xml:space="preserve"> and microbial diversity observed.</w:t>
      </w:r>
      <w:r w:rsidR="00F849C4" w:rsidRPr="00A1247B">
        <w:rPr>
          <w:rFonts w:ascii="Times New Roman" w:hAnsi="Times New Roman" w:cs="Times New Roman" w:hint="eastAsia"/>
          <w:sz w:val="24"/>
          <w:szCs w:val="28"/>
        </w:rPr>
        <w:t xml:space="preserve"> </w:t>
      </w:r>
    </w:p>
    <w:p w14:paraId="00B4C82E" w14:textId="77777777" w:rsidR="009C26F1" w:rsidRDefault="009C26F1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77DC190" w14:textId="77777777" w:rsidR="009C26F1" w:rsidRDefault="009C26F1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FB2F2DB" w14:textId="77777777" w:rsidR="00422646" w:rsidRPr="00A1247B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A518003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1B6B88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A062DD5" w14:textId="0B5F14D7" w:rsidR="00C450F3" w:rsidRDefault="00C450F3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9AF276A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B3A5663" w14:textId="67457B28" w:rsidR="00422646" w:rsidRDefault="00C450F3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1F17DDB8" wp14:editId="328885F4">
            <wp:extent cx="5274310" cy="1882775"/>
            <wp:effectExtent l="0" t="0" r="2540" b="3175"/>
            <wp:docPr id="322074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634C" w14:textId="7BE4F591" w:rsidR="00422646" w:rsidRDefault="00E72288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E72288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Supplementary figure 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4</w:t>
      </w:r>
      <w:r w:rsidRPr="00E72288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E72288">
        <w:rPr>
          <w:rFonts w:ascii="Segoe UI" w:hAnsi="Segoe UI" w:cs="Segoe UI"/>
          <w:color w:val="800080"/>
          <w:szCs w:val="21"/>
          <w:shd w:val="clear" w:color="auto" w:fill="FFFFFF"/>
        </w:rPr>
        <w:t xml:space="preserve"> </w:t>
      </w:r>
      <w:r w:rsidRPr="00E72288">
        <w:rPr>
          <w:rFonts w:ascii="Times New Roman" w:hAnsi="Times New Roman" w:cs="Times New Roman"/>
          <w:b/>
          <w:bCs/>
          <w:sz w:val="24"/>
          <w:szCs w:val="28"/>
        </w:rPr>
        <w:t xml:space="preserve">Microbial </w:t>
      </w:r>
      <w:r w:rsidR="00164AC5">
        <w:rPr>
          <w:rFonts w:ascii="Times New Roman" w:hAnsi="Times New Roman" w:cs="Times New Roman" w:hint="eastAsia"/>
          <w:b/>
          <w:bCs/>
          <w:sz w:val="24"/>
          <w:szCs w:val="28"/>
        </w:rPr>
        <w:t>composition</w:t>
      </w:r>
      <w:r w:rsidRPr="00E72288">
        <w:rPr>
          <w:rFonts w:ascii="Times New Roman" w:hAnsi="Times New Roman" w:cs="Times New Roman"/>
          <w:b/>
          <w:bCs/>
          <w:sz w:val="24"/>
          <w:szCs w:val="28"/>
        </w:rPr>
        <w:t xml:space="preserve"> across </w:t>
      </w:r>
      <w:r w:rsidR="00164AC5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samples at the </w:t>
      </w:r>
      <w:r w:rsidR="00B6780D" w:rsidRPr="00A1247B">
        <w:rPr>
          <w:rFonts w:ascii="Times New Roman" w:hAnsi="Times New Roman" w:cs="Times New Roman" w:hint="eastAsia"/>
          <w:b/>
          <w:bCs/>
          <w:sz w:val="24"/>
          <w:szCs w:val="28"/>
        </w:rPr>
        <w:t>amplicon sequence variants (ASV</w:t>
      </w:r>
      <w:r w:rsidR="00B6780D">
        <w:rPr>
          <w:rFonts w:ascii="Times New Roman" w:hAnsi="Times New Roman" w:cs="Times New Roman" w:hint="eastAsia"/>
          <w:b/>
          <w:bCs/>
          <w:sz w:val="24"/>
          <w:szCs w:val="28"/>
        </w:rPr>
        <w:t>)</w:t>
      </w:r>
      <w:r w:rsidR="00164AC5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level</w:t>
      </w:r>
      <w:r w:rsidRPr="00E72288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="00164AC5" w:rsidRPr="00F45A32">
        <w:rPr>
          <w:rFonts w:ascii="Times New Roman" w:hAnsi="Times New Roman" w:cs="Times New Roman"/>
          <w:sz w:val="24"/>
          <w:szCs w:val="28"/>
        </w:rPr>
        <w:t xml:space="preserve">Relative abundance of microbial taxa at the </w:t>
      </w:r>
      <w:r w:rsidR="00164AC5">
        <w:rPr>
          <w:rFonts w:ascii="Times New Roman" w:hAnsi="Times New Roman" w:cs="Times New Roman" w:hint="eastAsia"/>
          <w:sz w:val="24"/>
          <w:szCs w:val="28"/>
        </w:rPr>
        <w:t xml:space="preserve">ASV </w:t>
      </w:r>
      <w:r w:rsidR="00164AC5" w:rsidRPr="00F45A32">
        <w:rPr>
          <w:rFonts w:ascii="Times New Roman" w:hAnsi="Times New Roman" w:cs="Times New Roman"/>
          <w:sz w:val="24"/>
          <w:szCs w:val="28"/>
        </w:rPr>
        <w:t xml:space="preserve">level across </w:t>
      </w:r>
      <w:r w:rsidR="00164AC5">
        <w:rPr>
          <w:rFonts w:ascii="Times New Roman" w:hAnsi="Times New Roman" w:cs="Times New Roman" w:hint="eastAsia"/>
          <w:sz w:val="24"/>
          <w:szCs w:val="28"/>
        </w:rPr>
        <w:t>the tested</w:t>
      </w:r>
      <w:r w:rsidR="00164AC5" w:rsidRPr="00F45A32">
        <w:rPr>
          <w:rFonts w:ascii="Times New Roman" w:hAnsi="Times New Roman" w:cs="Times New Roman"/>
          <w:sz w:val="24"/>
          <w:szCs w:val="28"/>
        </w:rPr>
        <w:t xml:space="preserve"> samples. The top 20 most abundant taxa are displayed; the “Others” category represents the combined relative abundance of remaining taxa. The bar plot on the right depicts the mean relative abundance across</w:t>
      </w:r>
    </w:p>
    <w:p w14:paraId="23F49534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7B8F29E" w14:textId="49A9E1FC" w:rsidR="00422646" w:rsidRDefault="00C450F3" w:rsidP="00164AC5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09E200CB" w14:textId="7B336DCE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64149D6" wp14:editId="1DC4D1A2">
            <wp:extent cx="5274310" cy="3839845"/>
            <wp:effectExtent l="0" t="0" r="2540" b="8255"/>
            <wp:docPr id="20464231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D429" w14:textId="2042BA07" w:rsidR="00422646" w:rsidRPr="0084414D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  <w:bookmarkStart w:id="6" w:name="OLE_LINK3"/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164AC5">
        <w:rPr>
          <w:rFonts w:ascii="Times New Roman" w:hAnsi="Times New Roman" w:cs="Times New Roman" w:hint="eastAsia"/>
          <w:b/>
          <w:bCs/>
          <w:sz w:val="24"/>
          <w:szCs w:val="28"/>
        </w:rPr>
        <w:t>5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bookmarkEnd w:id="6"/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9A0BCC" w:rsidRPr="009A0BCC">
        <w:rPr>
          <w:rFonts w:ascii="Times New Roman" w:hAnsi="Times New Roman" w:cs="Times New Roman"/>
          <w:b/>
          <w:bCs/>
          <w:sz w:val="24"/>
          <w:szCs w:val="28"/>
        </w:rPr>
        <w:t>Co-occurrence network of the top 30 genera significantly associated with fatty acid phenotypes.</w:t>
      </w:r>
      <w:r w:rsidR="009A0BCC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9A0BCC" w:rsidRPr="009A0BCC">
        <w:rPr>
          <w:rFonts w:ascii="Times New Roman" w:hAnsi="Times New Roman" w:cs="Times New Roman"/>
          <w:sz w:val="24"/>
          <w:szCs w:val="28"/>
        </w:rPr>
        <w:t>The network is constructed based on Spearman correlation coefficients between genera. Edge width corresponds to the absolute</w:t>
      </w:r>
      <w:r w:rsidR="009A0BCC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9A0BCC" w:rsidRPr="009A0BCC">
        <w:rPr>
          <w:rFonts w:ascii="Times New Roman" w:hAnsi="Times New Roman" w:cs="Times New Roman"/>
          <w:sz w:val="24"/>
          <w:szCs w:val="28"/>
        </w:rPr>
        <w:t>value of the correlation coefficient, with red and blue edges representing positive and negative correlations, respectively.</w:t>
      </w:r>
    </w:p>
    <w:p w14:paraId="383C1E9F" w14:textId="77777777" w:rsidR="00422646" w:rsidRPr="009A0BCC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C9B663B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1CC91EA" w14:textId="77777777" w:rsidR="00422646" w:rsidRPr="009A0BCC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0C26FB1" w14:textId="77777777" w:rsidR="00422646" w:rsidRPr="0084414D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F03F0E8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90B66ED" w14:textId="77777777" w:rsidR="00164AC5" w:rsidRDefault="00164AC5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74A8DF1" w14:textId="77777777" w:rsidR="00164AC5" w:rsidRDefault="00164AC5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1A81DC2" w14:textId="77777777" w:rsidR="00164AC5" w:rsidRDefault="00164AC5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12A3524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4B17733" w14:textId="52CF9E1B" w:rsidR="00164AC5" w:rsidRDefault="00A06E7E" w:rsidP="00164AC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B25529" wp14:editId="68175D7C">
            <wp:extent cx="5274310" cy="2402840"/>
            <wp:effectExtent l="0" t="0" r="2540" b="0"/>
            <wp:docPr id="6020524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DB2A" w14:textId="7F75D996" w:rsidR="00164AC5" w:rsidRDefault="00164AC5" w:rsidP="00164AC5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6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E72288">
        <w:rPr>
          <w:rFonts w:ascii="Times New Roman" w:hAnsi="Times New Roman" w:cs="Times New Roman"/>
          <w:b/>
          <w:bCs/>
          <w:sz w:val="24"/>
          <w:szCs w:val="28"/>
        </w:rPr>
        <w:t xml:space="preserve">Correlations between microbial </w:t>
      </w:r>
      <w:r w:rsidRPr="00A1247B">
        <w:rPr>
          <w:rFonts w:ascii="Times New Roman" w:hAnsi="Times New Roman" w:cs="Times New Roman" w:hint="eastAsia"/>
          <w:b/>
          <w:bCs/>
          <w:sz w:val="24"/>
          <w:szCs w:val="28"/>
        </w:rPr>
        <w:t>amplicon sequence variants (ASVs)</w:t>
      </w:r>
      <w:r w:rsidRPr="00E72288">
        <w:rPr>
          <w:rFonts w:ascii="Times New Roman" w:hAnsi="Times New Roman" w:cs="Times New Roman"/>
          <w:b/>
          <w:bCs/>
          <w:sz w:val="24"/>
          <w:szCs w:val="28"/>
        </w:rPr>
        <w:t xml:space="preserve"> and fatty acid phenotypes. </w:t>
      </w:r>
      <w:r w:rsidRPr="00E72288">
        <w:rPr>
          <w:rFonts w:ascii="Times New Roman" w:hAnsi="Times New Roman" w:cs="Times New Roman"/>
          <w:sz w:val="24"/>
          <w:szCs w:val="28"/>
        </w:rPr>
        <w:t>The heatmap depicts the Spearman correlation coefficients. Significant correlations (q &lt; 0.2) are denoted by solid circles, the size of which is proportional to the absolute value of the correlation coefficient.</w:t>
      </w:r>
    </w:p>
    <w:p w14:paraId="3FD11F84" w14:textId="77777777" w:rsidR="00422646" w:rsidRPr="00164AC5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EA37296" w14:textId="77777777" w:rsidR="00422646" w:rsidRDefault="00422646">
      <w:pPr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4174A00B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7248D95" w14:textId="4E3F0870" w:rsidR="00164AC5" w:rsidRDefault="00164AC5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63337F5C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C89B1C9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A79AE0C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5CD33C5" w14:textId="77777777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A5D962A" w14:textId="78F1DCB4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14C82470" wp14:editId="490346ED">
            <wp:extent cx="5274310" cy="1503045"/>
            <wp:effectExtent l="0" t="0" r="2540" b="1905"/>
            <wp:docPr id="15024797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C084" w14:textId="06A8D6B5" w:rsidR="00422646" w:rsidRDefault="0042264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7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9A0BCC" w:rsidRPr="009A0BCC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Serum metabolome profiling of </w:t>
      </w:r>
      <w:proofErr w:type="spellStart"/>
      <w:r w:rsidR="007171A8" w:rsidRPr="007171A8">
        <w:rPr>
          <w:rFonts w:ascii="Times New Roman" w:hAnsi="Times New Roman" w:cs="Times New Roman" w:hint="eastAsia"/>
          <w:b/>
          <w:bCs/>
          <w:sz w:val="24"/>
          <w:szCs w:val="28"/>
        </w:rPr>
        <w:t>Hebao</w:t>
      </w:r>
      <w:proofErr w:type="spellEnd"/>
      <w:r w:rsidR="007171A8" w:rsidRPr="007171A8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red carps</w:t>
      </w:r>
      <w:r w:rsidR="009A0BCC" w:rsidRPr="009A0BCC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="009A0BCC" w:rsidRPr="009A0BCC">
        <w:rPr>
          <w:rFonts w:ascii="Times New Roman" w:hAnsi="Times New Roman" w:cs="Times New Roman" w:hint="eastAsia"/>
          <w:sz w:val="24"/>
          <w:szCs w:val="28"/>
        </w:rPr>
        <w:t xml:space="preserve"> (a) Principal component analysis plot showing the distribution of experimental samples (blue dots) and quality control (QC) samples (red dots). (b) Classification and composition of the identified serum metabolites.</w:t>
      </w:r>
    </w:p>
    <w:p w14:paraId="3D0D9863" w14:textId="77777777" w:rsidR="00DD225F" w:rsidRPr="009A0BCC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DE2807E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5348599" w14:textId="2E87F3D6" w:rsidR="00DD225F" w:rsidRDefault="00A06E7E" w:rsidP="00A06E7E">
      <w:pPr>
        <w:widowControl/>
        <w:jc w:val="left"/>
        <w:rPr>
          <w:rFonts w:ascii="Times New Roman" w:hAnsi="Times New Roman" w:cs="Times New Roman" w:hint="eastAsia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D09A81C" w14:textId="0E7AE5EC" w:rsidR="00422646" w:rsidRDefault="00A06E7E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46F64F5" wp14:editId="0B08B513">
            <wp:extent cx="5274310" cy="2402840"/>
            <wp:effectExtent l="0" t="0" r="2540" b="0"/>
            <wp:docPr id="2287164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5F09" w14:textId="6A0631C7" w:rsidR="0084414D" w:rsidRPr="00973F44" w:rsidRDefault="00DD225F" w:rsidP="0084414D">
      <w:pPr>
        <w:rPr>
          <w:rFonts w:ascii="Times New Roman" w:hAnsi="Times New Roman" w:cs="Times New Roman"/>
          <w:sz w:val="24"/>
          <w:szCs w:val="28"/>
        </w:rPr>
      </w:pPr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8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 Mediation analysis based on </w:t>
      </w:r>
      <w:r w:rsidRPr="00DD225F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Carnitine C8:0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metabolites.</w:t>
      </w:r>
      <w:r w:rsidR="0084414D" w:rsidRPr="0084414D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4414D" w:rsidRPr="005D3C75">
        <w:rPr>
          <w:rFonts w:ascii="Times New Roman" w:hAnsi="Times New Roman" w:cs="Times New Roman"/>
          <w:sz w:val="24"/>
          <w:szCs w:val="28"/>
        </w:rPr>
        <w:t xml:space="preserve">P-values for the natural indirect effects </w:t>
      </w:r>
      <w:r w:rsidR="0084414D">
        <w:rPr>
          <w:rFonts w:ascii="Times New Roman" w:hAnsi="Times New Roman" w:cs="Times New Roman" w:hint="eastAsia"/>
          <w:sz w:val="24"/>
          <w:szCs w:val="28"/>
        </w:rPr>
        <w:t xml:space="preserve">was </w:t>
      </w:r>
      <w:r w:rsidR="0084414D" w:rsidRPr="005D3C75">
        <w:rPr>
          <w:rFonts w:ascii="Times New Roman" w:hAnsi="Times New Roman" w:cs="Times New Roman"/>
          <w:sz w:val="24"/>
          <w:szCs w:val="28"/>
        </w:rPr>
        <w:t xml:space="preserve">derived from pairwise weighted </w:t>
      </w:r>
      <w:r w:rsidR="0084414D" w:rsidRPr="0084414D">
        <w:rPr>
          <w:rFonts w:ascii="Times New Roman" w:hAnsi="Times New Roman" w:cs="Times New Roman" w:hint="eastAsia"/>
          <w:sz w:val="24"/>
          <w:szCs w:val="28"/>
        </w:rPr>
        <w:t>Carnitine C8:0 metabolites</w:t>
      </w:r>
      <w:r w:rsidR="0084414D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84414D" w:rsidRPr="005D3C75">
        <w:rPr>
          <w:rFonts w:ascii="Times New Roman" w:hAnsi="Times New Roman" w:cs="Times New Roman"/>
          <w:sz w:val="24"/>
          <w:szCs w:val="28"/>
        </w:rPr>
        <w:t>mediation models</w:t>
      </w:r>
      <w:r w:rsidR="0084414D">
        <w:rPr>
          <w:rFonts w:ascii="Times New Roman" w:hAnsi="Times New Roman" w:cs="Times New Roman" w:hint="eastAsia"/>
          <w:sz w:val="24"/>
          <w:szCs w:val="28"/>
        </w:rPr>
        <w:t>.</w:t>
      </w:r>
      <w:r w:rsidR="0084414D" w:rsidRPr="005D3C75">
        <w:rPr>
          <w:rFonts w:ascii="Times New Roman" w:hAnsi="Times New Roman" w:cs="Times New Roman"/>
          <w:sz w:val="24"/>
          <w:szCs w:val="28"/>
        </w:rPr>
        <w:t xml:space="preserve"> The red dashed vertical line indicates the significance threshold of </w:t>
      </w:r>
      <w:r w:rsidR="0084414D" w:rsidRPr="00A06E7E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="0084414D" w:rsidRPr="005D3C75">
        <w:rPr>
          <w:rFonts w:ascii="Times New Roman" w:hAnsi="Times New Roman" w:cs="Times New Roman"/>
          <w:sz w:val="24"/>
          <w:szCs w:val="28"/>
        </w:rPr>
        <w:t xml:space="preserve"> &lt; 0.05; points to the right of this line represent statistically significant associations. Colors distinguish the different fatty acid phenotypes that were significant</w:t>
      </w:r>
      <w:r w:rsidR="0084414D">
        <w:rPr>
          <w:rFonts w:ascii="Times New Roman" w:hAnsi="Times New Roman" w:cs="Times New Roman" w:hint="eastAsia"/>
          <w:sz w:val="24"/>
          <w:szCs w:val="28"/>
        </w:rPr>
        <w:t xml:space="preserve"> in</w:t>
      </w:r>
      <w:r w:rsidR="0084414D" w:rsidRPr="005D3C75">
        <w:rPr>
          <w:rFonts w:ascii="Times New Roman" w:hAnsi="Times New Roman" w:cs="Times New Roman"/>
          <w:sz w:val="24"/>
          <w:szCs w:val="28"/>
        </w:rPr>
        <w:t xml:space="preserve"> the mediation effect</w:t>
      </w:r>
      <w:r w:rsidR="0084414D">
        <w:rPr>
          <w:rFonts w:ascii="Times New Roman" w:hAnsi="Times New Roman" w:cs="Times New Roman" w:hint="eastAsia"/>
          <w:sz w:val="24"/>
          <w:szCs w:val="28"/>
        </w:rPr>
        <w:t xml:space="preserve"> model</w:t>
      </w:r>
      <w:r w:rsidR="0084414D" w:rsidRPr="005D3C75">
        <w:rPr>
          <w:rFonts w:ascii="Times New Roman" w:hAnsi="Times New Roman" w:cs="Times New Roman"/>
          <w:sz w:val="24"/>
          <w:szCs w:val="28"/>
        </w:rPr>
        <w:t xml:space="preserve"> of specific bacterial genera</w:t>
      </w:r>
      <w:r w:rsidR="0084414D" w:rsidRPr="005D3C75">
        <w:rPr>
          <w:rFonts w:ascii="Times New Roman" w:hAnsi="Times New Roman" w:cs="Times New Roman" w:hint="eastAsia"/>
          <w:sz w:val="24"/>
          <w:szCs w:val="28"/>
        </w:rPr>
        <w:t>.</w:t>
      </w:r>
    </w:p>
    <w:p w14:paraId="513E5483" w14:textId="00C7B0A5" w:rsidR="00DD225F" w:rsidRPr="0084414D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5C6483E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100AA31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7EF0FA1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E27E429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20CC9BA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86AACB4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31236CD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A1EB838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C8C2D91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9DE42D4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2264C70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16CDD44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AC4D987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DF9FFC4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D1C4B43" w14:textId="77777777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C7EE59F" w14:textId="1253BEC6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0DFCFB" wp14:editId="72827B41">
            <wp:extent cx="5274310" cy="6656070"/>
            <wp:effectExtent l="0" t="0" r="2540" b="0"/>
            <wp:docPr id="6596947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9F27" w14:textId="34C11E5D" w:rsidR="00DD225F" w:rsidRDefault="00DD225F">
      <w:pPr>
        <w:rPr>
          <w:rFonts w:ascii="Times New Roman" w:hAnsi="Times New Roman" w:cs="Times New Roman"/>
          <w:b/>
          <w:bCs/>
          <w:sz w:val="24"/>
          <w:szCs w:val="28"/>
        </w:rPr>
      </w:pPr>
      <w:bookmarkStart w:id="7" w:name="OLE_LINK4"/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9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bookmarkEnd w:id="7"/>
      <w:r w:rsidR="009A0BCC" w:rsidRPr="009A0BCC">
        <w:rPr>
          <w:rFonts w:ascii="Segoe UI" w:hAnsi="Segoe UI" w:cs="Segoe UI"/>
          <w:color w:val="800080"/>
          <w:szCs w:val="21"/>
          <w:shd w:val="clear" w:color="auto" w:fill="FFFFFF"/>
        </w:rPr>
        <w:t xml:space="preserve"> </w:t>
      </w:r>
      <w:r w:rsidR="009A0BCC" w:rsidRPr="009A0BCC">
        <w:rPr>
          <w:rFonts w:ascii="Times New Roman" w:hAnsi="Times New Roman" w:cs="Times New Roman"/>
          <w:b/>
          <w:bCs/>
          <w:sz w:val="24"/>
          <w:szCs w:val="28"/>
        </w:rPr>
        <w:t>Associations between free fatty acids (FFAs), gut microbiota genera, and muscle fatty acids.</w:t>
      </w:r>
      <w:r w:rsidR="009A0BCC" w:rsidRPr="009A0BCC">
        <w:rPr>
          <w:rFonts w:ascii="Times New Roman" w:hAnsi="Times New Roman" w:cs="Times New Roman"/>
          <w:sz w:val="24"/>
          <w:szCs w:val="28"/>
        </w:rPr>
        <w:t xml:space="preserve"> (a) Correlation analysis of FFAs with the relative abundance of microbial genera. (b) Correlation heatmap between FFAs and muscle fatty acid content. Significant correlations (q &lt; 0.05) are marked with solid circles, the size of which is proportional to the Spearman correlation coefficient.</w:t>
      </w:r>
    </w:p>
    <w:p w14:paraId="01AC36AE" w14:textId="57682411" w:rsidR="00DD225F" w:rsidRDefault="00311AE9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7F7F75B" wp14:editId="6F455054">
            <wp:extent cx="5274310" cy="7253605"/>
            <wp:effectExtent l="0" t="0" r="2540" b="4445"/>
            <wp:docPr id="8065900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C7EC" w14:textId="4A54CEA6" w:rsidR="00DD225F" w:rsidRPr="00C450F3" w:rsidRDefault="00DD225F">
      <w:pPr>
        <w:rPr>
          <w:rFonts w:ascii="Times New Roman" w:hAnsi="Times New Roman" w:cs="Times New Roman"/>
          <w:sz w:val="24"/>
          <w:szCs w:val="28"/>
        </w:rPr>
      </w:pPr>
      <w:r w:rsidRPr="00D46D27"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</w:t>
      </w:r>
      <w:r w:rsidR="00C450F3">
        <w:rPr>
          <w:rFonts w:ascii="Times New Roman" w:hAnsi="Times New Roman" w:cs="Times New Roman" w:hint="eastAsia"/>
          <w:b/>
          <w:bCs/>
          <w:sz w:val="24"/>
          <w:szCs w:val="28"/>
        </w:rPr>
        <w:t>0</w:t>
      </w:r>
      <w:r w:rsidRPr="00D46D2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D7213A" w:rsidRPr="00D7213A">
        <w:rPr>
          <w:rFonts w:ascii="Times New Roman" w:hAnsi="Times New Roman" w:cs="Times New Roman"/>
          <w:b/>
          <w:bCs/>
          <w:sz w:val="24"/>
          <w:szCs w:val="28"/>
        </w:rPr>
        <w:t xml:space="preserve">Serum metabolite modules and their associations with fatty acids. </w:t>
      </w:r>
      <w:r w:rsidR="00D7213A" w:rsidRPr="00D7213A">
        <w:rPr>
          <w:rFonts w:ascii="Times New Roman" w:hAnsi="Times New Roman" w:cs="Times New Roman" w:hint="eastAsia"/>
          <w:sz w:val="24"/>
          <w:szCs w:val="28"/>
        </w:rPr>
        <w:t>(a) Correlation analysis between the 32 metabolite modules identified by Weighted gene co-expression network analysis (WGCNA) and fatty acid phenotypes. Representative enriched metabolic pathways for (b) Module 1, (c) Module 3, and (d) Module 2 are shown.</w:t>
      </w:r>
      <w:r w:rsidR="00D7213A" w:rsidRPr="00D7213A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AA500F" w:rsidRPr="00AA500F">
        <w:rPr>
          <w:rFonts w:ascii="Times New Roman" w:hAnsi="Times New Roman" w:cs="Times New Roman" w:hint="eastAsia"/>
          <w:sz w:val="24"/>
          <w:szCs w:val="28"/>
        </w:rPr>
        <w:t xml:space="preserve">(a) The correlation plot </w:t>
      </w:r>
      <w:proofErr w:type="gramStart"/>
      <w:r w:rsidR="00AA500F" w:rsidRPr="00AA500F">
        <w:rPr>
          <w:rFonts w:ascii="Times New Roman" w:hAnsi="Times New Roman" w:cs="Times New Roman" w:hint="eastAsia"/>
          <w:sz w:val="24"/>
          <w:szCs w:val="28"/>
        </w:rPr>
        <w:t>show</w:t>
      </w:r>
      <w:proofErr w:type="gramEnd"/>
      <w:r w:rsidR="00AA500F" w:rsidRPr="00AA500F">
        <w:rPr>
          <w:rFonts w:ascii="Times New Roman" w:hAnsi="Times New Roman" w:cs="Times New Roman" w:hint="eastAsia"/>
          <w:sz w:val="24"/>
          <w:szCs w:val="28"/>
        </w:rPr>
        <w:t xml:space="preserve"> the correlation </w:t>
      </w:r>
      <w:r w:rsidR="00AA500F" w:rsidRPr="00AA500F">
        <w:rPr>
          <w:rFonts w:ascii="Times New Roman" w:hAnsi="Times New Roman" w:cs="Times New Roman"/>
          <w:sz w:val="24"/>
          <w:szCs w:val="28"/>
        </w:rPr>
        <w:t>between</w:t>
      </w:r>
      <w:r w:rsidR="00AA500F" w:rsidRPr="00AA500F">
        <w:rPr>
          <w:rFonts w:ascii="Times New Roman" w:hAnsi="Times New Roman" w:cs="Times New Roman" w:hint="eastAsia"/>
          <w:sz w:val="24"/>
          <w:szCs w:val="28"/>
        </w:rPr>
        <w:t xml:space="preserve"> the 32 WGCNA modules and fatty acid phenotypes. </w:t>
      </w:r>
      <w:r w:rsidR="00D7213A" w:rsidRPr="00D7213A">
        <w:rPr>
          <w:rFonts w:ascii="Times New Roman" w:hAnsi="Times New Roman" w:cs="Times New Roman"/>
          <w:sz w:val="24"/>
          <w:szCs w:val="28"/>
        </w:rPr>
        <w:t xml:space="preserve">The </w:t>
      </w:r>
      <w:r w:rsidR="00D7213A">
        <w:rPr>
          <w:rFonts w:ascii="Times New Roman" w:hAnsi="Times New Roman" w:cs="Times New Roman" w:hint="eastAsia"/>
          <w:sz w:val="24"/>
          <w:szCs w:val="28"/>
        </w:rPr>
        <w:t>dot</w:t>
      </w:r>
      <w:r w:rsidR="00D7213A" w:rsidRPr="00D7213A">
        <w:rPr>
          <w:rFonts w:ascii="Times New Roman" w:hAnsi="Times New Roman" w:cs="Times New Roman"/>
          <w:sz w:val="24"/>
          <w:szCs w:val="28"/>
        </w:rPr>
        <w:t xml:space="preserve"> plots display the significantly enriched metabolic pathways for (b) Module 1, (c) Module 3, and (d) Module 2.</w:t>
      </w:r>
    </w:p>
    <w:sectPr w:rsidR="00DD225F" w:rsidRPr="00C450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92254" w14:textId="77777777" w:rsidR="00E02579" w:rsidRDefault="00E02579" w:rsidP="00D46D27">
      <w:pPr>
        <w:rPr>
          <w:rFonts w:hint="eastAsia"/>
        </w:rPr>
      </w:pPr>
      <w:r>
        <w:separator/>
      </w:r>
    </w:p>
  </w:endnote>
  <w:endnote w:type="continuationSeparator" w:id="0">
    <w:p w14:paraId="647DC1EC" w14:textId="77777777" w:rsidR="00E02579" w:rsidRDefault="00E02579" w:rsidP="00D46D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9FBB0" w14:textId="77777777" w:rsidR="00E02579" w:rsidRDefault="00E02579" w:rsidP="00D46D27">
      <w:pPr>
        <w:rPr>
          <w:rFonts w:hint="eastAsia"/>
        </w:rPr>
      </w:pPr>
      <w:r>
        <w:separator/>
      </w:r>
    </w:p>
  </w:footnote>
  <w:footnote w:type="continuationSeparator" w:id="0">
    <w:p w14:paraId="53CDAA27" w14:textId="77777777" w:rsidR="00E02579" w:rsidRDefault="00E02579" w:rsidP="00D46D2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932"/>
    <w:rsid w:val="00037B9B"/>
    <w:rsid w:val="00164AC5"/>
    <w:rsid w:val="00187FFE"/>
    <w:rsid w:val="001C4057"/>
    <w:rsid w:val="002771CD"/>
    <w:rsid w:val="002874E8"/>
    <w:rsid w:val="002E381C"/>
    <w:rsid w:val="002F6BED"/>
    <w:rsid w:val="003028E1"/>
    <w:rsid w:val="00311AE9"/>
    <w:rsid w:val="00392F48"/>
    <w:rsid w:val="00422646"/>
    <w:rsid w:val="004B4364"/>
    <w:rsid w:val="004E373D"/>
    <w:rsid w:val="00623CDB"/>
    <w:rsid w:val="00675CC5"/>
    <w:rsid w:val="00692AA8"/>
    <w:rsid w:val="007171A8"/>
    <w:rsid w:val="007624BB"/>
    <w:rsid w:val="0084414D"/>
    <w:rsid w:val="00910136"/>
    <w:rsid w:val="009A0BCC"/>
    <w:rsid w:val="009C26F1"/>
    <w:rsid w:val="009C2A1B"/>
    <w:rsid w:val="00A06E7E"/>
    <w:rsid w:val="00A1247B"/>
    <w:rsid w:val="00A513CF"/>
    <w:rsid w:val="00A9342B"/>
    <w:rsid w:val="00AA500F"/>
    <w:rsid w:val="00B2562A"/>
    <w:rsid w:val="00B6780D"/>
    <w:rsid w:val="00C450F3"/>
    <w:rsid w:val="00D04F94"/>
    <w:rsid w:val="00D46D27"/>
    <w:rsid w:val="00D7213A"/>
    <w:rsid w:val="00DD225F"/>
    <w:rsid w:val="00E02579"/>
    <w:rsid w:val="00E16250"/>
    <w:rsid w:val="00E54FBF"/>
    <w:rsid w:val="00E72288"/>
    <w:rsid w:val="00F205EF"/>
    <w:rsid w:val="00F849C4"/>
    <w:rsid w:val="00FF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DF270A"/>
  <w15:chartTrackingRefBased/>
  <w15:docId w15:val="{1F55EF6A-815E-429A-9A81-1A0C64273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05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F193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19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193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193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193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193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193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193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193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193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F19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F19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F193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F193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F193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F193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F193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F193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F193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F1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193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F19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19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F19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19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193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19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F193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193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46D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46D2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46D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46D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676</Words>
  <Characters>4144</Characters>
  <Application>Microsoft Office Word</Application>
  <DocSecurity>0</DocSecurity>
  <Lines>172</Lines>
  <Paragraphs>22</Paragraphs>
  <ScaleCrop>false</ScaleCrop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Jingquan Lee</dc:creator>
  <cp:keywords/>
  <dc:description/>
  <cp:lastModifiedBy>Jingquan Lee</cp:lastModifiedBy>
  <cp:revision>2</cp:revision>
  <dcterms:created xsi:type="dcterms:W3CDTF">2026-03-31T09:19:00Z</dcterms:created>
  <dcterms:modified xsi:type="dcterms:W3CDTF">2026-03-31T09:19:00Z</dcterms:modified>
</cp:coreProperties>
</file>