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2F5496"/>
          <w:sz w:val="30"/>
        </w:rPr>
        <w:t>Appendix B — Arabic / English Parallel Version</w:t>
      </w:r>
    </w:p>
    <w:p>
      <w:pPr>
        <w:jc w:val="center"/>
      </w:pPr>
      <w:r>
        <w:rPr>
          <w:rFonts w:ascii="Arial" w:hAnsi="Arial"/>
          <w:i/>
          <w:sz w:val="19"/>
        </w:rPr>
        <w:t>Bilingual appendix prepared for journal resubmission: Arabic original/parallel text and English translation side by side.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</w:tblPr>
      <w:tblGrid>
        <w:gridCol w:w="4536"/>
        <w:gridCol w:w="5256"/>
      </w:tblGrid>
      <w:tr>
        <w:tc>
          <w:tcPr>
            <w:tcW w:type="dxa" w:w="5112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Arabic / Original</w:t>
            </w:r>
          </w:p>
        </w:tc>
        <w:tc>
          <w:tcPr>
            <w:tcW w:type="dxa" w:w="5112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English Translation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EF3F8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sz w:val="20"/>
              </w:rPr>
              <w:t>الملحق ب. معجم المصطلحات الشرعية الرئيسة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EF3F8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20"/>
              </w:rPr>
              <w:t>Appendix B. Glossary of key Islamic legal terms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ملاحظة: يَرِد المصطلح العربي أولًا، ثم نقحه الصوتي، ثم تعريف عملي موجز كما استُخدم في هذه الدراسة.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Note. Arabic term is given first, followed by transliteration and a concise working definition as used in this article.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العقل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ʿaql: Reason/rational capacity; the foundational juristic criterion for imputability. In the paper, it frames how courts linguistically connect psychiatric diagnosis to legal assessments of agency.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الأهلية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ahliyya: Legal capacity/competence. In homicide reasoning, judgments may explicitly grade it (e.g., كامل/ناقص/عدم كمال الأهلية) to justify mitigation.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التكليف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taklīf: Moral-legal accountability; the condition under which a person is addressed by legal obligations. Used as the doctrinal backdrop for linking cognition/volition to liability.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الاختيار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ikhtiyār: Volition/choice; the capacity to intend and control action. Often paired conceptually with العقل and التمييز in discussions of responsibility.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التمييز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tamyīz: Discernment (ability to distinguish and understand). A key intermediate notion between العقل (rationality) and full criminal responsibility.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الحد/الحدود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ḥadd/ḥudūd: Fixed punishments prescribed for specified offenses. In the focal case, the prosecution sought a fixed capital punishment under a doctrinal label.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الحرابة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ḥirāba: Brigandage/corruption on earth category; often invoked in severe violent cases. The focal corpus includes language about “حد الحرابة” and its doctrinal avoidance.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درء الحد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darʾ al-ḥadd: Warding off a fixed penalty in the presence of a legally recognized doubt or impediment (e.g., impaired capacity).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القصاص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qiṣāṣ: Retaliation in homicide/bodily injury cases; a private-right-centered logic that can be affected by procedural posture and evidentiary thresholds.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الدية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diyah: Blood money/compensatory payment; a monetary remedy in homicide/bodily injury matters, sometimes relevant when full retaliation is not applied.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التعزير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taʿzīr: Discretionary punishment set by the judge when ḥadd/qiṣāṣ is not applied or is warded off. The focal corpus includes “تعزيره” with imprisonment and lashes.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الغيلة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ghīla: Treacherous killing—classically associated with stealth, ambush, or killing a sleeping victim. The corpus summary explicitly notes a request for “حد الغيلة”.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قتل عمد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qatl ʿamd: Intentional homicide; a key classification affecting doctrinal route (qiṣāṣ vs. other outcomes).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قتل خطأ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qatl khaṭaʾ: Accidental/non-intentional killing; contrasts with qatl ʿamd in doctrinal classification and sanctions.</w:t>
            </w:r>
          </w:p>
        </w:tc>
      </w:tr>
      <w:tr>
        <w:tc>
          <w:tcPr>
            <w:tcW w:type="dxa" w:w="453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sz w:val="20"/>
              </w:rPr>
              <w:t>شبهة</w:t>
            </w:r>
          </w:p>
        </w:tc>
        <w:tc>
          <w:tcPr>
            <w:tcW w:type="dxa" w:w="525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sz w:val="20"/>
              </w:rPr>
              <w:t>shubha: Legal doubt/ambiguity that can block ḥadd application and support mitigation; conceptually relevant to darʾ logic even when not explicitly named.</w:t>
            </w:r>
          </w:p>
        </w:tc>
      </w:tr>
    </w:tbl>
    <w:sectPr w:rsidR="00FC693F" w:rsidRPr="0006063C" w:rsidSect="00034616">
      <w:pgSz w:w="12240" w:h="15840"/>
      <w:pgMar w:top="1080" w:right="1008" w:bottom="108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