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CF97" w14:textId="1DA58220" w:rsidR="00397C77" w:rsidRPr="00BF2C2D" w:rsidRDefault="00000000" w:rsidP="00BF2C2D">
      <w:pPr>
        <w:pStyle w:val="Heading1"/>
        <w:spacing w:before="0" w:line="360" w:lineRule="auto"/>
        <w:jc w:val="center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 xml:space="preserve">Appendix A. Arabic lexical screen used for corpus identification </w:t>
      </w:r>
    </w:p>
    <w:p w14:paraId="054B8AA2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Purpose and procedure</w:t>
      </w:r>
    </w:p>
    <w:p w14:paraId="3E1213DC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The initial corpus screen combined (a) manual skim-reading of the 15 homicide judgments in Majmuʿat al-Ahkam al-Qadaʾiyya (Vol. 13) and (b) repeated keyword searches for Arabic markers and close orthographic/morphological variants. Searches were iterated until no new candidate passages emerged. Variants included common spelling alternations (e.g., همزة/بدون همزة), definite-article forms, and frequent derived patterns (e.g., ناقص/نقصان; أهليته/الأهلية).</w:t>
      </w:r>
    </w:p>
    <w:p w14:paraId="5690C2CD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A1. Diagnostic and mental-health condition terms (تشخيص/حالة نفسية)</w:t>
      </w:r>
    </w:p>
    <w:p w14:paraId="0A8E1130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Markers used to detect explicit mental-illness claims, including psychosis labels and general mental-health descriptors:</w:t>
      </w:r>
    </w:p>
    <w:p w14:paraId="07360255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الفُصام / الفصام (schizophrenia) and related phrasing such as «مرض الفصام».</w:t>
      </w:r>
    </w:p>
    <w:p w14:paraId="3E042A94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مرض نفسي، الأمراض النفسية، اضطراب نفسي، حالة نفسية.</w:t>
      </w:r>
    </w:p>
    <w:p w14:paraId="40E25658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مرض عقلي، مرضه العقلي، اضطراب عقلي.</w:t>
      </w:r>
    </w:p>
    <w:p w14:paraId="46173AFF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جنون، مجنون، جنون متقطع/مستمر.</w:t>
      </w:r>
    </w:p>
    <w:p w14:paraId="043F17FD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Illustrative corpus phrasing includes references to «مرض الفصام» and the committee’s medical characterization of the condition as chronic and relapsing.</w:t>
      </w:r>
    </w:p>
    <w:p w14:paraId="0388061A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A2. Capacity, accountability, and responsibility terms (أهلية/مسؤولية/تكليف)</w:t>
      </w:r>
    </w:p>
    <w:p w14:paraId="145EC7F9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Markers used to detect reduced-capacity reasoning and responsibility gradation:</w:t>
      </w:r>
    </w:p>
    <w:p w14:paraId="132A5B99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الأهلية / أهليته / أهلية المدعى عليه; كمال الأهلية / عدم كمال أهليته; ناقص الأهلية / نقص الأهلية; كامل الأهلية.</w:t>
      </w:r>
    </w:p>
    <w:p w14:paraId="5B08C2A3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المسؤولية الجنائية / المسؤولية الجِنائية; تخفيف المسؤولية الجنائية.</w:t>
      </w:r>
    </w:p>
    <w:p w14:paraId="7A1FE10C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المسؤولية الجزئية / مسؤولية جزئية / جزئية المسؤولية.</w:t>
      </w:r>
    </w:p>
    <w:p w14:paraId="34097089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عبارات تقويم الفهم والتمييز والاختيار: التمييز، الإدراك، الاختيار/الاختيار، الوعي.</w:t>
      </w:r>
    </w:p>
    <w:p w14:paraId="692F1640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Illustrative corpus phrasing includes: «درء حد الحرابة … لعدم كمال أهليته» and «المدعى عليه ناقص الأهلية».</w:t>
      </w:r>
    </w:p>
    <w:p w14:paraId="4E759753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A3. Expert-source / institutional evidence terms (مصدر الخبرة/التقارير)</w:t>
      </w:r>
    </w:p>
    <w:p w14:paraId="103B3195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Markers used to identify psychiatric expertise, institutional reports, and clinical custody:</w:t>
      </w:r>
    </w:p>
    <w:p w14:paraId="49E9E038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اللجنة الطبية النفسية الجنائية.</w:t>
      </w:r>
    </w:p>
    <w:p w14:paraId="2C4B9BF0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تقرير طبي نفسي / التقارير الطبية / التقرير الطبي.</w:t>
      </w:r>
    </w:p>
    <w:p w14:paraId="6BAA06A0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مستشفى نفسي / مستشفى الأمراض النفسية (when present).</w:t>
      </w:r>
    </w:p>
    <w:p w14:paraId="74CD0A0E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lastRenderedPageBreak/>
        <w:t>• الكشف/الفحص الطبي؛ «عند الكشف الحالي»؛ «أعراض واضحة للمرض» (committee diagnostic formulations).</w:t>
      </w:r>
    </w:p>
    <w:p w14:paraId="7907A482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The corpus includes an explicit reference to «اللجنة الطبية النفسية الجنائية» describing the condition, its chronicity, and relapse risk.</w:t>
      </w:r>
    </w:p>
    <w:p w14:paraId="353EFEF2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A4. Doctrinal outcomes and sanction-shift terms (المآلات الشرعية/التكييف/العقوبة)</w:t>
      </w:r>
    </w:p>
    <w:p w14:paraId="4CC75D29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Markers used to capture mitigation, reclassification, or sanction substitution when mental illness is invoked:</w:t>
      </w:r>
    </w:p>
    <w:p w14:paraId="174DC02B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حد الغيلة؛ حد الحرابة / حد الحرابة؛ درء حد الحرابة (warding off the fixed penalty).</w:t>
      </w:r>
    </w:p>
    <w:p w14:paraId="1CD1F608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التعزير / تعزيره؛ التعزير بالسجن والجلد.</w:t>
      </w:r>
    </w:p>
    <w:p w14:paraId="3DD86487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القصاص؛ الدية (when homicide classification shifts to compensation/retaliation logic).</w:t>
      </w:r>
    </w:p>
    <w:p w14:paraId="31955DCB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صيغ دالة على التخفيف أو إعادة التكييف: «تخفيف المسؤولية الجنائية»؛ «عدم اكتمال الأهلية»؛ «مراعاة لحال المدعى عليه الصحية».</w:t>
      </w:r>
    </w:p>
    <w:p w14:paraId="4A3C0AEA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Illustrative corpus phrasing includes: «درء حد الحرابة … لعدم كمال أهليته» followed by «تعزيره … بسجنه خمس سنوات وجلده…».</w:t>
      </w:r>
    </w:p>
    <w:p w14:paraId="7C7B887F" w14:textId="77777777" w:rsidR="00397C77" w:rsidRPr="00BF2C2D" w:rsidRDefault="00000000" w:rsidP="00BF2C2D">
      <w:pPr>
        <w:pStyle w:val="Heading2"/>
        <w:spacing w:before="0" w:line="360" w:lineRule="auto"/>
        <w:rPr>
          <w:rFonts w:asciiTheme="majorBidi" w:hAnsiTheme="majorBidi"/>
          <w:sz w:val="24"/>
          <w:szCs w:val="24"/>
        </w:rPr>
      </w:pPr>
      <w:r w:rsidRPr="00BF2C2D">
        <w:rPr>
          <w:rFonts w:asciiTheme="majorBidi" w:hAnsiTheme="majorBidi"/>
          <w:sz w:val="24"/>
          <w:szCs w:val="24"/>
        </w:rPr>
        <w:t>A5. Practical search notes (ملاحظات تنفيذية)</w:t>
      </w:r>
    </w:p>
    <w:p w14:paraId="2A307A02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Because Arabic legal texts vary in orthography and spacing, searches also included:</w:t>
      </w:r>
    </w:p>
    <w:p w14:paraId="20C55A99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Hamza/ya’ alternations (e.g., مسؤولية/مسئولية).</w:t>
      </w:r>
    </w:p>
    <w:p w14:paraId="4E315814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Definite-article variants (الأهلية/أهلية).</w:t>
      </w:r>
    </w:p>
    <w:p w14:paraId="560CCF75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Possessive and inflected forms (أهليته، أهليتهم).</w:t>
      </w:r>
    </w:p>
    <w:p w14:paraId="447F8D53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• Collocations combining doctrine + capacity (درء + حد + الحرابة; عدم + كمال + أهلية).</w:t>
      </w:r>
    </w:p>
    <w:p w14:paraId="6C5D907A" w14:textId="77777777" w:rsidR="00397C77" w:rsidRPr="00BF2C2D" w:rsidRDefault="00000000" w:rsidP="00BF2C2D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2C2D">
        <w:rPr>
          <w:rFonts w:asciiTheme="majorBidi" w:hAnsiTheme="majorBidi" w:cstheme="majorBidi"/>
          <w:sz w:val="24"/>
          <w:szCs w:val="24"/>
        </w:rPr>
        <w:t>Manual checks were used to confirm whether hits were legally consequential (i.e., used in the court’s reasoning on responsibility) rather than incidental health background.</w:t>
      </w:r>
    </w:p>
    <w:sectPr w:rsidR="00397C77" w:rsidRPr="00BF2C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3174340">
    <w:abstractNumId w:val="8"/>
  </w:num>
  <w:num w:numId="2" w16cid:durableId="298733484">
    <w:abstractNumId w:val="6"/>
  </w:num>
  <w:num w:numId="3" w16cid:durableId="2104721303">
    <w:abstractNumId w:val="5"/>
  </w:num>
  <w:num w:numId="4" w16cid:durableId="1414469200">
    <w:abstractNumId w:val="4"/>
  </w:num>
  <w:num w:numId="5" w16cid:durableId="1124032993">
    <w:abstractNumId w:val="7"/>
  </w:num>
  <w:num w:numId="6" w16cid:durableId="1581527597">
    <w:abstractNumId w:val="3"/>
  </w:num>
  <w:num w:numId="7" w16cid:durableId="864634552">
    <w:abstractNumId w:val="2"/>
  </w:num>
  <w:num w:numId="8" w16cid:durableId="1923685798">
    <w:abstractNumId w:val="1"/>
  </w:num>
  <w:num w:numId="9" w16cid:durableId="19419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7C77"/>
    <w:rsid w:val="00633506"/>
    <w:rsid w:val="00AA1D8D"/>
    <w:rsid w:val="00B47730"/>
    <w:rsid w:val="00BF2C2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C4B443"/>
  <w14:defaultImageDpi w14:val="300"/>
  <w15:docId w15:val="{AC163931-81BA-43A0-B58E-27406482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2965</Characters>
  <Application>Microsoft Office Word</Application>
  <DocSecurity>0</DocSecurity>
  <Lines>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mohamed39</cp:lastModifiedBy>
  <cp:revision>2</cp:revision>
  <dcterms:created xsi:type="dcterms:W3CDTF">2013-12-23T23:15:00Z</dcterms:created>
  <dcterms:modified xsi:type="dcterms:W3CDTF">2026-03-05T18:12:00Z</dcterms:modified>
  <cp:category/>
</cp:coreProperties>
</file>