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CDA" w:rsidRDefault="00000000">
      <w:pPr>
        <w:jc w:val="center"/>
      </w:pPr>
      <w:r>
        <w:rPr>
          <w:rFonts w:ascii="Arial" w:hAnsi="Arial"/>
          <w:b/>
          <w:color w:val="2F5496"/>
          <w:sz w:val="30"/>
        </w:rPr>
        <w:t xml:space="preserve">Appendix </w:t>
      </w:r>
      <w:r w:rsidR="00113AA1">
        <w:rPr>
          <w:rFonts w:ascii="Arial" w:hAnsi="Arial"/>
          <w:b/>
          <w:color w:val="2F5496"/>
          <w:sz w:val="30"/>
        </w:rPr>
        <w:t>C</w:t>
      </w:r>
      <w:r>
        <w:rPr>
          <w:rFonts w:ascii="Arial" w:hAnsi="Arial"/>
          <w:b/>
          <w:color w:val="2F5496"/>
          <w:sz w:val="30"/>
        </w:rPr>
        <w:t xml:space="preserve"> — Arabic / English Parallel Version</w:t>
      </w:r>
    </w:p>
    <w:p w:rsidR="00BC6CDA" w:rsidRDefault="00000000">
      <w:pPr>
        <w:jc w:val="center"/>
      </w:pPr>
      <w:r>
        <w:rPr>
          <w:rFonts w:ascii="Arial" w:hAnsi="Arial"/>
          <w:i/>
          <w:sz w:val="19"/>
        </w:rPr>
        <w:t>Bilingual appendix prepared for journal resubmission: Arabic original/parallel text and English translation side by side.</w:t>
      </w:r>
    </w:p>
    <w:tbl>
      <w:tblPr>
        <w:tblStyle w:val="TableGrid"/>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5112"/>
        <w:gridCol w:w="5256"/>
      </w:tblGrid>
      <w:tr w:rsidR="00BC6CDA">
        <w:trPr>
          <w:jc w:val="center"/>
        </w:trPr>
        <w:tc>
          <w:tcPr>
            <w:tcW w:w="5112" w:type="dxa"/>
            <w:shd w:val="clear" w:color="auto" w:fill="D9E2F3"/>
            <w:tcMar>
              <w:top w:w="100" w:type="dxa"/>
              <w:left w:w="120" w:type="dxa"/>
              <w:bottom w:w="100" w:type="dxa"/>
              <w:right w:w="120" w:type="dxa"/>
            </w:tcMar>
            <w:vAlign w:val="center"/>
          </w:tcPr>
          <w:p w:rsidR="00BC6CDA" w:rsidRDefault="00000000">
            <w:pPr>
              <w:jc w:val="center"/>
            </w:pPr>
            <w:r>
              <w:rPr>
                <w:rFonts w:ascii="Arial" w:hAnsi="Arial"/>
                <w:b/>
                <w:sz w:val="20"/>
              </w:rPr>
              <w:t>Arabic / Original</w:t>
            </w:r>
          </w:p>
        </w:tc>
        <w:tc>
          <w:tcPr>
            <w:tcW w:w="5112" w:type="dxa"/>
            <w:shd w:val="clear" w:color="auto" w:fill="D9E2F3"/>
            <w:tcMar>
              <w:top w:w="100" w:type="dxa"/>
              <w:left w:w="120" w:type="dxa"/>
              <w:bottom w:w="100" w:type="dxa"/>
              <w:right w:w="120" w:type="dxa"/>
            </w:tcMar>
            <w:vAlign w:val="center"/>
          </w:tcPr>
          <w:p w:rsidR="00BC6CDA" w:rsidRDefault="00000000">
            <w:pPr>
              <w:jc w:val="center"/>
            </w:pPr>
            <w:r>
              <w:rPr>
                <w:rFonts w:ascii="Arial" w:hAnsi="Arial"/>
                <w:b/>
                <w:sz w:val="20"/>
              </w:rPr>
              <w:t>English Translation</w:t>
            </w:r>
          </w:p>
        </w:tc>
      </w:tr>
      <w:tr w:rsidR="00BC6CDA">
        <w:trPr>
          <w:jc w:val="center"/>
        </w:trPr>
        <w:tc>
          <w:tcPr>
            <w:tcW w:w="4536" w:type="dxa"/>
            <w:shd w:val="clear" w:color="auto" w:fill="EEF3F8"/>
            <w:tcMar>
              <w:top w:w="110" w:type="dxa"/>
              <w:left w:w="120" w:type="dxa"/>
              <w:bottom w:w="110" w:type="dxa"/>
              <w:right w:w="120" w:type="dxa"/>
            </w:tcMar>
            <w:vAlign w:val="center"/>
          </w:tcPr>
          <w:p w:rsidR="00BC6CDA" w:rsidRDefault="00000000">
            <w:pPr>
              <w:jc w:val="right"/>
            </w:pPr>
            <w:r>
              <w:rPr>
                <w:rFonts w:ascii="Arial" w:hAnsi="Arial"/>
                <w:b/>
                <w:sz w:val="20"/>
              </w:rPr>
              <w:t>الملحق أ. الشاشة المعجمية العربية المستخدمة في تحديد المتن</w:t>
            </w:r>
          </w:p>
        </w:tc>
        <w:tc>
          <w:tcPr>
            <w:tcW w:w="5256" w:type="dxa"/>
            <w:shd w:val="clear" w:color="auto" w:fill="EEF3F8"/>
            <w:tcMar>
              <w:top w:w="110" w:type="dxa"/>
              <w:left w:w="120" w:type="dxa"/>
              <w:bottom w:w="110" w:type="dxa"/>
              <w:right w:w="120" w:type="dxa"/>
            </w:tcMar>
            <w:vAlign w:val="center"/>
          </w:tcPr>
          <w:p w:rsidR="00BC6CDA" w:rsidRDefault="00000000">
            <w:r>
              <w:rPr>
                <w:rFonts w:ascii="Arial" w:hAnsi="Arial"/>
                <w:b/>
                <w:sz w:val="20"/>
              </w:rPr>
              <w:t>Appendix A. Arabic lexical screen used for corpus identification</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b/>
                <w:sz w:val="20"/>
              </w:rPr>
              <w:t>الغرض والإجراء</w:t>
            </w:r>
          </w:p>
        </w:tc>
        <w:tc>
          <w:tcPr>
            <w:tcW w:w="5256" w:type="dxa"/>
            <w:tcMar>
              <w:top w:w="110" w:type="dxa"/>
              <w:left w:w="120" w:type="dxa"/>
              <w:bottom w:w="110" w:type="dxa"/>
              <w:right w:w="120" w:type="dxa"/>
            </w:tcMar>
            <w:vAlign w:val="center"/>
          </w:tcPr>
          <w:p w:rsidR="00BC6CDA" w:rsidRDefault="00000000">
            <w:r>
              <w:rPr>
                <w:rFonts w:ascii="Arial" w:hAnsi="Arial"/>
                <w:b/>
                <w:sz w:val="20"/>
              </w:rPr>
              <w:t>Purpose and procedure</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جمعت مرحلة الفحص الأولي للمتن بين: (أ) القراءة اليدوية السريعة لأحكام القتل الخمسة عشر في مجموعة الأحكام القضائية (المجلد 13)، و(ب) البحث المتكرر عن المؤشرات العربية وصيغها الإملائية والصرفية المتقاربة. وقد أُعيدت عمليات البحث حتى لم تظهر أي مواضع مرشحة جديدة. وشملت المتغيرات بدائل إملائية شائعة مثل الهمزة/بدون همزة، وصيغ التعريف، والاشتقاقات المتداولة مثل: ناقص/نقصان؛ أهليته/الأهلية.</w:t>
            </w:r>
          </w:p>
        </w:tc>
        <w:tc>
          <w:tcPr>
            <w:tcW w:w="5256" w:type="dxa"/>
            <w:tcMar>
              <w:top w:w="110" w:type="dxa"/>
              <w:left w:w="120" w:type="dxa"/>
              <w:bottom w:w="110" w:type="dxa"/>
              <w:right w:w="120" w:type="dxa"/>
            </w:tcMar>
            <w:vAlign w:val="center"/>
          </w:tcPr>
          <w:p w:rsidR="00BC6CDA" w:rsidRDefault="00000000">
            <w:r>
              <w:rPr>
                <w:rFonts w:ascii="Arial" w:hAnsi="Arial"/>
                <w:sz w:val="20"/>
              </w:rPr>
              <w:t>The initial corpus screen combined (a) manual skim-reading of the 15 homicide judgments in Majmuʿat al-Ahkam al-Qadaʾiyya (Vol. 13) and (b) repeated keyword searches for Arabic markers and close orthographic/morphological variants. Searches were iterated until no new candidate passages emerged. Variants included common spelling alternations (e.g., hamza/without hamza), definite-article forms, and frequent derived patterns (e.g., nāqiṣ/nuqṣān; ahliyatuhu/al-ahliyya).</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b/>
                <w:sz w:val="20"/>
              </w:rPr>
              <w:t>أ1. مصطلحات التشخيص والحالة النفسية</w:t>
            </w:r>
          </w:p>
        </w:tc>
        <w:tc>
          <w:tcPr>
            <w:tcW w:w="5256" w:type="dxa"/>
            <w:tcMar>
              <w:top w:w="110" w:type="dxa"/>
              <w:left w:w="120" w:type="dxa"/>
              <w:bottom w:w="110" w:type="dxa"/>
              <w:right w:w="120" w:type="dxa"/>
            </w:tcMar>
            <w:vAlign w:val="center"/>
          </w:tcPr>
          <w:p w:rsidR="00BC6CDA" w:rsidRDefault="00000000">
            <w:r>
              <w:rPr>
                <w:rFonts w:ascii="Arial" w:hAnsi="Arial"/>
                <w:b/>
                <w:sz w:val="20"/>
              </w:rPr>
              <w:t>A1. Diagnostic and mental-health condition terms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مؤشرات استُخدمت لاكتشاف مزاعم المرض النفسي الصريحة، بما في ذلك تسميات الذهان والأوصاف العامة للصحة النفسية.</w:t>
            </w:r>
          </w:p>
        </w:tc>
        <w:tc>
          <w:tcPr>
            <w:tcW w:w="5256" w:type="dxa"/>
            <w:tcMar>
              <w:top w:w="110" w:type="dxa"/>
              <w:left w:w="120" w:type="dxa"/>
              <w:bottom w:w="110" w:type="dxa"/>
              <w:right w:w="120" w:type="dxa"/>
            </w:tcMar>
            <w:vAlign w:val="center"/>
          </w:tcPr>
          <w:p w:rsidR="00BC6CDA" w:rsidRDefault="00000000">
            <w:r>
              <w:rPr>
                <w:rFonts w:ascii="Arial" w:hAnsi="Arial"/>
                <w:sz w:val="20"/>
              </w:rPr>
              <w:t>Markers used to detect explicit mental-illness claims, including psychosis labels and general mental-health descriptors.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الفُصام / الفصام، وما يتصل به من صيغ مثل «مرض الفصام».</w:t>
            </w:r>
          </w:p>
        </w:tc>
        <w:tc>
          <w:tcPr>
            <w:tcW w:w="5256" w:type="dxa"/>
            <w:tcMar>
              <w:top w:w="110" w:type="dxa"/>
              <w:left w:w="120" w:type="dxa"/>
              <w:bottom w:w="110" w:type="dxa"/>
              <w:right w:w="120" w:type="dxa"/>
            </w:tcMar>
            <w:vAlign w:val="center"/>
          </w:tcPr>
          <w:p w:rsidR="00BC6CDA" w:rsidRDefault="00000000">
            <w:r>
              <w:rPr>
                <w:rFonts w:ascii="Arial" w:hAnsi="Arial"/>
                <w:sz w:val="20"/>
              </w:rPr>
              <w:t>الفُصام / الفصام (schizophrenia) and related phrasing such as “مرض الفصام”.</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مرض نفسي، الأمراض النفسية، اضطراب نفسي، حالة نفسية.</w:t>
            </w:r>
          </w:p>
        </w:tc>
        <w:tc>
          <w:tcPr>
            <w:tcW w:w="5256" w:type="dxa"/>
            <w:tcMar>
              <w:top w:w="110" w:type="dxa"/>
              <w:left w:w="120" w:type="dxa"/>
              <w:bottom w:w="110" w:type="dxa"/>
              <w:right w:w="120" w:type="dxa"/>
            </w:tcMar>
            <w:vAlign w:val="center"/>
          </w:tcPr>
          <w:p w:rsidR="00BC6CDA" w:rsidRDefault="00000000">
            <w:r>
              <w:rPr>
                <w:rFonts w:ascii="Arial" w:hAnsi="Arial"/>
                <w:sz w:val="20"/>
              </w:rPr>
              <w:t>Mental illness, mental disorders, psychological disorder, psychological condition.</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مرض عقلي، مرضه العقلي، اضطراب عقلي.</w:t>
            </w:r>
          </w:p>
        </w:tc>
        <w:tc>
          <w:tcPr>
            <w:tcW w:w="5256" w:type="dxa"/>
            <w:tcMar>
              <w:top w:w="110" w:type="dxa"/>
              <w:left w:w="120" w:type="dxa"/>
              <w:bottom w:w="110" w:type="dxa"/>
              <w:right w:w="120" w:type="dxa"/>
            </w:tcMar>
            <w:vAlign w:val="center"/>
          </w:tcPr>
          <w:p w:rsidR="00BC6CDA" w:rsidRDefault="00000000">
            <w:r>
              <w:rPr>
                <w:rFonts w:ascii="Arial" w:hAnsi="Arial"/>
                <w:sz w:val="20"/>
              </w:rPr>
              <w:t>Mental disease, his mental disease, mental disorder.</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جنون، مجنون، جنون متقطع/مستمر.</w:t>
            </w:r>
          </w:p>
        </w:tc>
        <w:tc>
          <w:tcPr>
            <w:tcW w:w="5256" w:type="dxa"/>
            <w:tcMar>
              <w:top w:w="110" w:type="dxa"/>
              <w:left w:w="120" w:type="dxa"/>
              <w:bottom w:w="110" w:type="dxa"/>
              <w:right w:w="120" w:type="dxa"/>
            </w:tcMar>
            <w:vAlign w:val="center"/>
          </w:tcPr>
          <w:p w:rsidR="00BC6CDA" w:rsidRDefault="00000000">
            <w:r>
              <w:rPr>
                <w:rFonts w:ascii="Arial" w:hAnsi="Arial"/>
                <w:sz w:val="20"/>
              </w:rPr>
              <w:t>Insanity, insane, intermittent/continuous insanity.</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تتضمن صيغ المتن أمثلة مثل الإشارة إلى «مرض الفصام»، ووصف اللجنة الطبية للحالة بوصفها مزمنة ومتكررة الانتكاس.</w:t>
            </w:r>
          </w:p>
        </w:tc>
        <w:tc>
          <w:tcPr>
            <w:tcW w:w="5256" w:type="dxa"/>
            <w:tcMar>
              <w:top w:w="110" w:type="dxa"/>
              <w:left w:w="120" w:type="dxa"/>
              <w:bottom w:w="110" w:type="dxa"/>
              <w:right w:w="120" w:type="dxa"/>
            </w:tcMar>
            <w:vAlign w:val="center"/>
          </w:tcPr>
          <w:p w:rsidR="00BC6CDA" w:rsidRDefault="00000000">
            <w:r>
              <w:rPr>
                <w:rFonts w:ascii="Arial" w:hAnsi="Arial"/>
                <w:sz w:val="20"/>
              </w:rPr>
              <w:t>Illustrative corpus phrasing includes references to “مرض الفصام” and the committee’s medical characterization of the condition as chronic and relapsing.</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b/>
                <w:sz w:val="20"/>
              </w:rPr>
              <w:t>أ2. مصطلحات الأهلية والمساءلة والمسؤولية</w:t>
            </w:r>
          </w:p>
        </w:tc>
        <w:tc>
          <w:tcPr>
            <w:tcW w:w="5256" w:type="dxa"/>
            <w:tcMar>
              <w:top w:w="110" w:type="dxa"/>
              <w:left w:w="120" w:type="dxa"/>
              <w:bottom w:w="110" w:type="dxa"/>
              <w:right w:w="120" w:type="dxa"/>
            </w:tcMar>
            <w:vAlign w:val="center"/>
          </w:tcPr>
          <w:p w:rsidR="00BC6CDA" w:rsidRDefault="00000000">
            <w:r>
              <w:rPr>
                <w:rFonts w:ascii="Arial" w:hAnsi="Arial"/>
                <w:b/>
                <w:sz w:val="20"/>
              </w:rPr>
              <w:t>A2. Capacity, accountability, and responsibility terms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مؤشرات استُخدمت لاكتشاف الاستدلال المتعلق بنقص الأهلية وتدرّج المسؤولية.</w:t>
            </w:r>
          </w:p>
        </w:tc>
        <w:tc>
          <w:tcPr>
            <w:tcW w:w="5256" w:type="dxa"/>
            <w:tcMar>
              <w:top w:w="110" w:type="dxa"/>
              <w:left w:w="120" w:type="dxa"/>
              <w:bottom w:w="110" w:type="dxa"/>
              <w:right w:w="120" w:type="dxa"/>
            </w:tcMar>
            <w:vAlign w:val="center"/>
          </w:tcPr>
          <w:p w:rsidR="00BC6CDA" w:rsidRDefault="00000000">
            <w:r>
              <w:rPr>
                <w:rFonts w:ascii="Arial" w:hAnsi="Arial"/>
                <w:sz w:val="20"/>
              </w:rPr>
              <w:t>Markers used to detect reduced-capacity reasoning and responsibility gradation.</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الأهلية / أهليته / أهلية المدعى عليه؛ كمال الأهلية / عدم كمال أهليته؛ ناقص الأهلية / نقص الأهلية؛ كامل الأهلية.</w:t>
            </w:r>
          </w:p>
        </w:tc>
        <w:tc>
          <w:tcPr>
            <w:tcW w:w="5256" w:type="dxa"/>
            <w:tcMar>
              <w:top w:w="110" w:type="dxa"/>
              <w:left w:w="120" w:type="dxa"/>
              <w:bottom w:w="110" w:type="dxa"/>
              <w:right w:w="120" w:type="dxa"/>
            </w:tcMar>
            <w:vAlign w:val="center"/>
          </w:tcPr>
          <w:p w:rsidR="00BC6CDA" w:rsidRDefault="00000000">
            <w:r>
              <w:rPr>
                <w:rFonts w:ascii="Arial" w:hAnsi="Arial"/>
                <w:sz w:val="20"/>
              </w:rPr>
              <w:t>Legal capacity / his capacity / the defendant’s capacity; full capacity / incomplete capacity; diminished capacity / deficiency of capacity; full legal competence.</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المسؤولية الجنائية / المسؤولية الجِنائية؛ تخفيف المسؤولية الجنائية.</w:t>
            </w:r>
          </w:p>
        </w:tc>
        <w:tc>
          <w:tcPr>
            <w:tcW w:w="5256" w:type="dxa"/>
            <w:tcMar>
              <w:top w:w="110" w:type="dxa"/>
              <w:left w:w="120" w:type="dxa"/>
              <w:bottom w:w="110" w:type="dxa"/>
              <w:right w:w="120" w:type="dxa"/>
            </w:tcMar>
            <w:vAlign w:val="center"/>
          </w:tcPr>
          <w:p w:rsidR="00BC6CDA" w:rsidRDefault="00000000">
            <w:r>
              <w:rPr>
                <w:rFonts w:ascii="Arial" w:hAnsi="Arial"/>
                <w:sz w:val="20"/>
              </w:rPr>
              <w:t>Criminal responsibility; mitigation of criminal responsibility.</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المسؤولية الجزئية / مسؤولية جزئية / جزئية المسؤولية.</w:t>
            </w:r>
          </w:p>
        </w:tc>
        <w:tc>
          <w:tcPr>
            <w:tcW w:w="5256" w:type="dxa"/>
            <w:tcMar>
              <w:top w:w="110" w:type="dxa"/>
              <w:left w:w="120" w:type="dxa"/>
              <w:bottom w:w="110" w:type="dxa"/>
              <w:right w:w="120" w:type="dxa"/>
            </w:tcMar>
            <w:vAlign w:val="center"/>
          </w:tcPr>
          <w:p w:rsidR="00BC6CDA" w:rsidRDefault="00000000">
            <w:r>
              <w:rPr>
                <w:rFonts w:ascii="Arial" w:hAnsi="Arial"/>
                <w:sz w:val="20"/>
              </w:rPr>
              <w:t>Partial responsibility / partial liability.</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lastRenderedPageBreak/>
              <w:t>عبارات تقويم الفهم والتمييز والاختيار: التمييز، الإدراك، الاختيار، الوعي.</w:t>
            </w:r>
          </w:p>
        </w:tc>
        <w:tc>
          <w:tcPr>
            <w:tcW w:w="5256" w:type="dxa"/>
            <w:tcMar>
              <w:top w:w="110" w:type="dxa"/>
              <w:left w:w="120" w:type="dxa"/>
              <w:bottom w:w="110" w:type="dxa"/>
              <w:right w:w="120" w:type="dxa"/>
            </w:tcMar>
            <w:vAlign w:val="center"/>
          </w:tcPr>
          <w:p w:rsidR="00BC6CDA" w:rsidRDefault="00000000">
            <w:r>
              <w:rPr>
                <w:rFonts w:ascii="Arial" w:hAnsi="Arial"/>
                <w:sz w:val="20"/>
              </w:rPr>
              <w:t>Expressions assessing understanding, discernment, choice, and awareness: discernment, perception, choice, awareness.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تتضمن صيغ المتن أمثلة مثل: «درء حد الحرابة … لعدم كمال أهليته» و«المدعى عليه ناقص الأهلية».</w:t>
            </w:r>
          </w:p>
        </w:tc>
        <w:tc>
          <w:tcPr>
            <w:tcW w:w="5256" w:type="dxa"/>
            <w:tcMar>
              <w:top w:w="110" w:type="dxa"/>
              <w:left w:w="120" w:type="dxa"/>
              <w:bottom w:w="110" w:type="dxa"/>
              <w:right w:w="120" w:type="dxa"/>
            </w:tcMar>
            <w:vAlign w:val="center"/>
          </w:tcPr>
          <w:p w:rsidR="00BC6CDA" w:rsidRDefault="00000000">
            <w:r>
              <w:rPr>
                <w:rFonts w:ascii="Arial" w:hAnsi="Arial"/>
                <w:sz w:val="20"/>
              </w:rPr>
              <w:t>Illustrative corpus phrasing includes: “درء حد الحرابة … لعدم كمال أهليته” and “المدعى عليه ناقص الأهلية”.</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b/>
                <w:sz w:val="20"/>
              </w:rPr>
              <w:t>أ3. مصطلحات مصدر الخبرة والتقارير المؤسسية</w:t>
            </w:r>
          </w:p>
        </w:tc>
        <w:tc>
          <w:tcPr>
            <w:tcW w:w="5256" w:type="dxa"/>
            <w:tcMar>
              <w:top w:w="110" w:type="dxa"/>
              <w:left w:w="120" w:type="dxa"/>
              <w:bottom w:w="110" w:type="dxa"/>
              <w:right w:w="120" w:type="dxa"/>
            </w:tcMar>
            <w:vAlign w:val="center"/>
          </w:tcPr>
          <w:p w:rsidR="00BC6CDA" w:rsidRDefault="00000000">
            <w:r>
              <w:rPr>
                <w:rFonts w:ascii="Arial" w:hAnsi="Arial"/>
                <w:b/>
                <w:sz w:val="20"/>
              </w:rPr>
              <w:t>A3. Expert-source / institutional evidence terms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مؤشرات استُخدمت لتحديد الخبرة النفسية والتقارير المؤسسية والرعاية/الإيداع السريري.</w:t>
            </w:r>
          </w:p>
        </w:tc>
        <w:tc>
          <w:tcPr>
            <w:tcW w:w="5256" w:type="dxa"/>
            <w:tcMar>
              <w:top w:w="110" w:type="dxa"/>
              <w:left w:w="120" w:type="dxa"/>
              <w:bottom w:w="110" w:type="dxa"/>
              <w:right w:w="120" w:type="dxa"/>
            </w:tcMar>
            <w:vAlign w:val="center"/>
          </w:tcPr>
          <w:p w:rsidR="00BC6CDA" w:rsidRDefault="00000000">
            <w:r>
              <w:rPr>
                <w:rFonts w:ascii="Arial" w:hAnsi="Arial"/>
                <w:sz w:val="20"/>
              </w:rPr>
              <w:t>Markers used to identify psychiatric expertise, institutional reports, and clinical custody.</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اللجنة الطبية النفسية الجنائية.</w:t>
            </w:r>
          </w:p>
        </w:tc>
        <w:tc>
          <w:tcPr>
            <w:tcW w:w="5256" w:type="dxa"/>
            <w:tcMar>
              <w:top w:w="110" w:type="dxa"/>
              <w:left w:w="120" w:type="dxa"/>
              <w:bottom w:w="110" w:type="dxa"/>
              <w:right w:w="120" w:type="dxa"/>
            </w:tcMar>
            <w:vAlign w:val="center"/>
          </w:tcPr>
          <w:p w:rsidR="00BC6CDA" w:rsidRDefault="00000000">
            <w:r>
              <w:rPr>
                <w:rFonts w:ascii="Arial" w:hAnsi="Arial"/>
                <w:sz w:val="20"/>
              </w:rPr>
              <w:t>Forensic psychiatric medical committee.</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تقرير طبي نفسي / التقارير الطبية / التقرير الطبي.</w:t>
            </w:r>
          </w:p>
        </w:tc>
        <w:tc>
          <w:tcPr>
            <w:tcW w:w="5256" w:type="dxa"/>
            <w:tcMar>
              <w:top w:w="110" w:type="dxa"/>
              <w:left w:w="120" w:type="dxa"/>
              <w:bottom w:w="110" w:type="dxa"/>
              <w:right w:w="120" w:type="dxa"/>
            </w:tcMar>
            <w:vAlign w:val="center"/>
          </w:tcPr>
          <w:p w:rsidR="00BC6CDA" w:rsidRDefault="00000000">
            <w:r>
              <w:rPr>
                <w:rFonts w:ascii="Arial" w:hAnsi="Arial"/>
                <w:sz w:val="20"/>
              </w:rPr>
              <w:t>Psychiatric medical report / medical reports / the medical report.</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مستشفى نفسي / مستشفى الأمراض النفسية.</w:t>
            </w:r>
          </w:p>
        </w:tc>
        <w:tc>
          <w:tcPr>
            <w:tcW w:w="5256" w:type="dxa"/>
            <w:tcMar>
              <w:top w:w="110" w:type="dxa"/>
              <w:left w:w="120" w:type="dxa"/>
              <w:bottom w:w="110" w:type="dxa"/>
              <w:right w:w="120" w:type="dxa"/>
            </w:tcMar>
            <w:vAlign w:val="center"/>
          </w:tcPr>
          <w:p w:rsidR="00BC6CDA" w:rsidRDefault="00000000">
            <w:r>
              <w:rPr>
                <w:rFonts w:ascii="Arial" w:hAnsi="Arial"/>
                <w:sz w:val="20"/>
              </w:rPr>
              <w:t>Psychiatric hospital / mental health hospital.</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الكشف/الفحص الطبي؛ «عند الكشف الحالي»؛ «أعراض واضحة للمرض».</w:t>
            </w:r>
          </w:p>
        </w:tc>
        <w:tc>
          <w:tcPr>
            <w:tcW w:w="5256" w:type="dxa"/>
            <w:tcMar>
              <w:top w:w="110" w:type="dxa"/>
              <w:left w:w="120" w:type="dxa"/>
              <w:bottom w:w="110" w:type="dxa"/>
              <w:right w:w="120" w:type="dxa"/>
            </w:tcMar>
            <w:vAlign w:val="center"/>
          </w:tcPr>
          <w:p w:rsidR="00BC6CDA" w:rsidRDefault="00000000">
            <w:r>
              <w:rPr>
                <w:rFonts w:ascii="Arial" w:hAnsi="Arial"/>
                <w:sz w:val="20"/>
              </w:rPr>
              <w:t>Medical examination/inspection; “upon current examination”; “clear symptoms of illness.”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يتضمن المتن إحالة صريحة إلى «اللجنة الطبية النفسية الجنائية» مع وصف الحالة وكونها مزمنة ومعرضة للانتكاس.</w:t>
            </w:r>
          </w:p>
        </w:tc>
        <w:tc>
          <w:tcPr>
            <w:tcW w:w="5256" w:type="dxa"/>
            <w:tcMar>
              <w:top w:w="110" w:type="dxa"/>
              <w:left w:w="120" w:type="dxa"/>
              <w:bottom w:w="110" w:type="dxa"/>
              <w:right w:w="120" w:type="dxa"/>
            </w:tcMar>
            <w:vAlign w:val="center"/>
          </w:tcPr>
          <w:p w:rsidR="00BC6CDA" w:rsidRDefault="00000000">
            <w:r>
              <w:rPr>
                <w:rFonts w:ascii="Arial" w:hAnsi="Arial"/>
                <w:sz w:val="20"/>
              </w:rPr>
              <w:t>The corpus includes an explicit reference to the “forensic psychiatric medical committee,” describing the condition, its chronicity, and relapse risk.</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b/>
                <w:sz w:val="20"/>
              </w:rPr>
              <w:t>أ4. مصطلحات المآلات الشرعية وتحول العقوبة</w:t>
            </w:r>
          </w:p>
        </w:tc>
        <w:tc>
          <w:tcPr>
            <w:tcW w:w="5256" w:type="dxa"/>
            <w:tcMar>
              <w:top w:w="110" w:type="dxa"/>
              <w:left w:w="120" w:type="dxa"/>
              <w:bottom w:w="110" w:type="dxa"/>
              <w:right w:w="120" w:type="dxa"/>
            </w:tcMar>
            <w:vAlign w:val="center"/>
          </w:tcPr>
          <w:p w:rsidR="00BC6CDA" w:rsidRDefault="00000000">
            <w:r>
              <w:rPr>
                <w:rFonts w:ascii="Arial" w:hAnsi="Arial"/>
                <w:b/>
                <w:sz w:val="20"/>
              </w:rPr>
              <w:t>A4. Doctrinal outcomes and sanction-shift terms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مؤشرات استُخدمت لرصد التخفيف أو إعادة التكييف أو استبدال الجزاء عند استدعاء المرض النفسي.</w:t>
            </w:r>
          </w:p>
        </w:tc>
        <w:tc>
          <w:tcPr>
            <w:tcW w:w="5256" w:type="dxa"/>
            <w:tcMar>
              <w:top w:w="110" w:type="dxa"/>
              <w:left w:w="120" w:type="dxa"/>
              <w:bottom w:w="110" w:type="dxa"/>
              <w:right w:w="120" w:type="dxa"/>
            </w:tcMar>
            <w:vAlign w:val="center"/>
          </w:tcPr>
          <w:p w:rsidR="00BC6CDA" w:rsidRDefault="00000000">
            <w:r>
              <w:rPr>
                <w:rFonts w:ascii="Arial" w:hAnsi="Arial"/>
                <w:sz w:val="20"/>
              </w:rPr>
              <w:t>Markers used to capture mitigation, reclassification, or sanction substitution when mental illness is invoked.</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حد الغيلة؛ حد الحرابة؛ درء حد الحرابة.</w:t>
            </w:r>
          </w:p>
        </w:tc>
        <w:tc>
          <w:tcPr>
            <w:tcW w:w="5256" w:type="dxa"/>
            <w:tcMar>
              <w:top w:w="110" w:type="dxa"/>
              <w:left w:w="120" w:type="dxa"/>
              <w:bottom w:w="110" w:type="dxa"/>
              <w:right w:w="120" w:type="dxa"/>
            </w:tcMar>
            <w:vAlign w:val="center"/>
          </w:tcPr>
          <w:p w:rsidR="00BC6CDA" w:rsidRDefault="00000000">
            <w:r>
              <w:rPr>
                <w:rFonts w:ascii="Arial" w:hAnsi="Arial"/>
                <w:sz w:val="20"/>
              </w:rPr>
              <w:t>Ḥadd al-ghīla; ḥadd al-ḥirāba; warding off the ḥirāba fixed penalty.</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التعزير / تعزيره؛ التعزير بالسجن والجلد.</w:t>
            </w:r>
          </w:p>
        </w:tc>
        <w:tc>
          <w:tcPr>
            <w:tcW w:w="5256" w:type="dxa"/>
            <w:tcMar>
              <w:top w:w="110" w:type="dxa"/>
              <w:left w:w="120" w:type="dxa"/>
              <w:bottom w:w="110" w:type="dxa"/>
              <w:right w:w="120" w:type="dxa"/>
            </w:tcMar>
            <w:vAlign w:val="center"/>
          </w:tcPr>
          <w:p w:rsidR="00BC6CDA" w:rsidRDefault="00000000">
            <w:r>
              <w:rPr>
                <w:rFonts w:ascii="Arial" w:hAnsi="Arial"/>
                <w:sz w:val="20"/>
              </w:rPr>
              <w:t>Discretionary punishment / punishing him by taʿzīr; taʿzīr by imprisonment and flogging.</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القصاص؛ الدية.</w:t>
            </w:r>
          </w:p>
        </w:tc>
        <w:tc>
          <w:tcPr>
            <w:tcW w:w="5256" w:type="dxa"/>
            <w:tcMar>
              <w:top w:w="110" w:type="dxa"/>
              <w:left w:w="120" w:type="dxa"/>
              <w:bottom w:w="110" w:type="dxa"/>
              <w:right w:w="120" w:type="dxa"/>
            </w:tcMar>
            <w:vAlign w:val="center"/>
          </w:tcPr>
          <w:p w:rsidR="00BC6CDA" w:rsidRDefault="00000000">
            <w:r>
              <w:rPr>
                <w:rFonts w:ascii="Arial" w:hAnsi="Arial"/>
                <w:sz w:val="20"/>
              </w:rPr>
              <w:t>Qiṣāṣ (retaliation); diyah (blood money).</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صيغ دالة على التخفيف أو إعادة التكييف مثل: «تخفيف المسؤولية الجنائية»، «عدم اكتمال الأهلية»، «مراعاة لحال المدعى عليه الصحية».</w:t>
            </w:r>
          </w:p>
        </w:tc>
        <w:tc>
          <w:tcPr>
            <w:tcW w:w="5256" w:type="dxa"/>
            <w:tcMar>
              <w:top w:w="110" w:type="dxa"/>
              <w:left w:w="120" w:type="dxa"/>
              <w:bottom w:w="110" w:type="dxa"/>
              <w:right w:w="120" w:type="dxa"/>
            </w:tcMar>
            <w:vAlign w:val="center"/>
          </w:tcPr>
          <w:p w:rsidR="00BC6CDA" w:rsidRDefault="00000000">
            <w:r>
              <w:rPr>
                <w:rFonts w:ascii="Arial" w:hAnsi="Arial"/>
                <w:sz w:val="20"/>
              </w:rPr>
              <w:t>Phrases indicating mitigation or reclassification such as “mitigation of criminal responsibility,” “incomplete capacity,” and “in consideration of the defendant’s health condition.”</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تتضمن صيغ المتن مثالًا مثل: «درء حد الحرابة … لعدم كمال أهليته» يتبعه «تعزيره … بسجنه خمس سنوات وجلده…».</w:t>
            </w:r>
          </w:p>
        </w:tc>
        <w:tc>
          <w:tcPr>
            <w:tcW w:w="5256" w:type="dxa"/>
            <w:tcMar>
              <w:top w:w="110" w:type="dxa"/>
              <w:left w:w="120" w:type="dxa"/>
              <w:bottom w:w="110" w:type="dxa"/>
              <w:right w:w="120" w:type="dxa"/>
            </w:tcMar>
            <w:vAlign w:val="center"/>
          </w:tcPr>
          <w:p w:rsidR="00BC6CDA" w:rsidRDefault="00000000">
            <w:r>
              <w:rPr>
                <w:rFonts w:ascii="Arial" w:hAnsi="Arial"/>
                <w:sz w:val="20"/>
              </w:rPr>
              <w:t>Illustrative corpus phrasing includes: “درء حد الحرابة … لعدم كمال أهليته” followed by “تعزيره … بسجنه خمس سنوات وجلده…”.</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b/>
                <w:sz w:val="20"/>
              </w:rPr>
              <w:t>أ5. ملاحظات تنفيذية للبحث</w:t>
            </w:r>
          </w:p>
        </w:tc>
        <w:tc>
          <w:tcPr>
            <w:tcW w:w="5256" w:type="dxa"/>
            <w:tcMar>
              <w:top w:w="110" w:type="dxa"/>
              <w:left w:w="120" w:type="dxa"/>
              <w:bottom w:w="110" w:type="dxa"/>
              <w:right w:w="120" w:type="dxa"/>
            </w:tcMar>
            <w:vAlign w:val="center"/>
          </w:tcPr>
          <w:p w:rsidR="00BC6CDA" w:rsidRDefault="00000000">
            <w:r>
              <w:rPr>
                <w:rFonts w:ascii="Arial" w:hAnsi="Arial"/>
                <w:b/>
                <w:sz w:val="20"/>
              </w:rPr>
              <w:t>A5. Practical search notes</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نظرًا إلى تباين النصوص القانونية العربية في الإملاء والمسافات، شملت عمليات البحث أيضًا ما يأتي:</w:t>
            </w:r>
          </w:p>
        </w:tc>
        <w:tc>
          <w:tcPr>
            <w:tcW w:w="5256" w:type="dxa"/>
            <w:tcMar>
              <w:top w:w="110" w:type="dxa"/>
              <w:left w:w="120" w:type="dxa"/>
              <w:bottom w:w="110" w:type="dxa"/>
              <w:right w:w="120" w:type="dxa"/>
            </w:tcMar>
            <w:vAlign w:val="center"/>
          </w:tcPr>
          <w:p w:rsidR="00BC6CDA" w:rsidRDefault="00000000">
            <w:r>
              <w:rPr>
                <w:rFonts w:ascii="Arial" w:hAnsi="Arial"/>
                <w:sz w:val="20"/>
              </w:rPr>
              <w:t>Because Arabic legal texts vary in orthography and spacing, searches also included the following:</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بدائل الهمزة والياء، مثل: مسؤولية/مسئولية.</w:t>
            </w:r>
          </w:p>
        </w:tc>
        <w:tc>
          <w:tcPr>
            <w:tcW w:w="5256" w:type="dxa"/>
            <w:tcMar>
              <w:top w:w="110" w:type="dxa"/>
              <w:left w:w="120" w:type="dxa"/>
              <w:bottom w:w="110" w:type="dxa"/>
              <w:right w:w="120" w:type="dxa"/>
            </w:tcMar>
            <w:vAlign w:val="center"/>
          </w:tcPr>
          <w:p w:rsidR="00BC6CDA" w:rsidRDefault="00000000">
            <w:r>
              <w:rPr>
                <w:rFonts w:ascii="Arial" w:hAnsi="Arial"/>
                <w:sz w:val="20"/>
              </w:rPr>
              <w:t>Hamza/yāʾ alternations, e.g., مسؤولية/مسئولية.</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صيغ المعرف وغير المعرف، مثل: الأهلية/أهلية.</w:t>
            </w:r>
          </w:p>
        </w:tc>
        <w:tc>
          <w:tcPr>
            <w:tcW w:w="5256" w:type="dxa"/>
            <w:tcMar>
              <w:top w:w="110" w:type="dxa"/>
              <w:left w:w="120" w:type="dxa"/>
              <w:bottom w:w="110" w:type="dxa"/>
              <w:right w:w="120" w:type="dxa"/>
            </w:tcMar>
            <w:vAlign w:val="center"/>
          </w:tcPr>
          <w:p w:rsidR="00BC6CDA" w:rsidRDefault="00000000">
            <w:r>
              <w:rPr>
                <w:rFonts w:ascii="Arial" w:hAnsi="Arial"/>
                <w:sz w:val="20"/>
              </w:rPr>
              <w:t>Definite-article variants, e.g., الأهلية/أهلية.</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الصيغ المضافة والمتصرفة، مثل: أهليته، أهليتهم.</w:t>
            </w:r>
          </w:p>
        </w:tc>
        <w:tc>
          <w:tcPr>
            <w:tcW w:w="5256" w:type="dxa"/>
            <w:tcMar>
              <w:top w:w="110" w:type="dxa"/>
              <w:left w:w="120" w:type="dxa"/>
              <w:bottom w:w="110" w:type="dxa"/>
              <w:right w:w="120" w:type="dxa"/>
            </w:tcMar>
            <w:vAlign w:val="center"/>
          </w:tcPr>
          <w:p w:rsidR="00BC6CDA" w:rsidRDefault="00000000">
            <w:r>
              <w:rPr>
                <w:rFonts w:ascii="Arial" w:hAnsi="Arial"/>
                <w:sz w:val="20"/>
              </w:rPr>
              <w:t>Possessive and inflected forms, e.g., أهليته، أهليتهم.</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lastRenderedPageBreak/>
              <w:t>المتلازمات التي تجمع بين الوصف الفقهي والأهلية، مثل: درء + حد + الحرابة؛ عدم + كمال + أهلية.</w:t>
            </w:r>
          </w:p>
        </w:tc>
        <w:tc>
          <w:tcPr>
            <w:tcW w:w="5256" w:type="dxa"/>
            <w:tcMar>
              <w:top w:w="110" w:type="dxa"/>
              <w:left w:w="120" w:type="dxa"/>
              <w:bottom w:w="110" w:type="dxa"/>
              <w:right w:w="120" w:type="dxa"/>
            </w:tcMar>
            <w:vAlign w:val="center"/>
          </w:tcPr>
          <w:p w:rsidR="00BC6CDA" w:rsidRDefault="00000000">
            <w:r>
              <w:rPr>
                <w:rFonts w:ascii="Arial" w:hAnsi="Arial"/>
                <w:sz w:val="20"/>
              </w:rPr>
              <w:t>Collocations combining doctrine and capacity, such as درء + حد + الحرابة and عدم + كمال + أهلية.</w:t>
            </w:r>
          </w:p>
        </w:tc>
      </w:tr>
      <w:tr w:rsidR="00BC6CDA">
        <w:trPr>
          <w:jc w:val="center"/>
        </w:trPr>
        <w:tc>
          <w:tcPr>
            <w:tcW w:w="4536" w:type="dxa"/>
            <w:tcMar>
              <w:top w:w="110" w:type="dxa"/>
              <w:left w:w="120" w:type="dxa"/>
              <w:bottom w:w="110" w:type="dxa"/>
              <w:right w:w="120" w:type="dxa"/>
            </w:tcMar>
            <w:vAlign w:val="center"/>
          </w:tcPr>
          <w:p w:rsidR="00BC6CDA" w:rsidRDefault="00000000">
            <w:pPr>
              <w:jc w:val="right"/>
            </w:pPr>
            <w:r>
              <w:rPr>
                <w:rFonts w:ascii="Arial" w:hAnsi="Arial"/>
                <w:sz w:val="20"/>
              </w:rPr>
              <w:t>واستُخدمت المراجعة اليدوية للتأكد من أن النتائج ذات أثر قانوني في تعليل المحكمة للمسؤولية، لا مجرد خلفية صحية عارضة.</w:t>
            </w:r>
          </w:p>
        </w:tc>
        <w:tc>
          <w:tcPr>
            <w:tcW w:w="5256" w:type="dxa"/>
            <w:tcMar>
              <w:top w:w="110" w:type="dxa"/>
              <w:left w:w="120" w:type="dxa"/>
              <w:bottom w:w="110" w:type="dxa"/>
              <w:right w:w="120" w:type="dxa"/>
            </w:tcMar>
            <w:vAlign w:val="center"/>
          </w:tcPr>
          <w:p w:rsidR="00BC6CDA" w:rsidRDefault="00000000">
            <w:r>
              <w:rPr>
                <w:rFonts w:ascii="Arial" w:hAnsi="Arial"/>
                <w:sz w:val="20"/>
              </w:rPr>
              <w:t>Manual checks were used to confirm whether hits were legally consequential in the court’s reasoning on responsibility rather than merely incidental health background.</w:t>
            </w:r>
          </w:p>
        </w:tc>
      </w:tr>
    </w:tbl>
    <w:p w:rsidR="001E3F8D" w:rsidRDefault="001E3F8D"/>
    <w:sectPr w:rsidR="001E3F8D" w:rsidSect="00034616">
      <w:pgSz w:w="12240" w:h="15840"/>
      <w:pgMar w:top="1080" w:right="1008" w:bottom="108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3191747">
    <w:abstractNumId w:val="8"/>
  </w:num>
  <w:num w:numId="2" w16cid:durableId="1575045589">
    <w:abstractNumId w:val="6"/>
  </w:num>
  <w:num w:numId="3" w16cid:durableId="588736738">
    <w:abstractNumId w:val="5"/>
  </w:num>
  <w:num w:numId="4" w16cid:durableId="1025986985">
    <w:abstractNumId w:val="4"/>
  </w:num>
  <w:num w:numId="5" w16cid:durableId="1862086366">
    <w:abstractNumId w:val="7"/>
  </w:num>
  <w:num w:numId="6" w16cid:durableId="495344828">
    <w:abstractNumId w:val="3"/>
  </w:num>
  <w:num w:numId="7" w16cid:durableId="1523010386">
    <w:abstractNumId w:val="2"/>
  </w:num>
  <w:num w:numId="8" w16cid:durableId="643776939">
    <w:abstractNumId w:val="1"/>
  </w:num>
  <w:num w:numId="9" w16cid:durableId="167826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3AA1"/>
    <w:rsid w:val="0015074B"/>
    <w:rsid w:val="001E3F8D"/>
    <w:rsid w:val="0029639D"/>
    <w:rsid w:val="00326F90"/>
    <w:rsid w:val="00AA1D8D"/>
    <w:rsid w:val="00B47730"/>
    <w:rsid w:val="00BC6CDA"/>
    <w:rsid w:val="00CB0664"/>
    <w:rsid w:val="00DD62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53B92"/>
  <w14:defaultImageDpi w14:val="300"/>
  <w15:docId w15:val="{CD0DF4F7-A0B7-4E1B-8329-A6B651E4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5574</Characters>
  <Application>Microsoft Office Word</Application>
  <DocSecurity>0</DocSecurity>
  <Lines>88</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mohamed39</cp:lastModifiedBy>
  <cp:revision>2</cp:revision>
  <dcterms:created xsi:type="dcterms:W3CDTF">2013-12-23T23:15:00Z</dcterms:created>
  <dcterms:modified xsi:type="dcterms:W3CDTF">2026-03-11T18:31:00Z</dcterms:modified>
  <cp:category/>
</cp:coreProperties>
</file>