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EA36" w14:textId="4459A2AF" w:rsidR="00CF6A85" w:rsidRPr="00D77412" w:rsidRDefault="00000000" w:rsidP="00D77412">
      <w:pPr>
        <w:pStyle w:val="Heading1"/>
        <w:spacing w:before="0" w:line="360" w:lineRule="auto"/>
        <w:jc w:val="center"/>
        <w:rPr>
          <w:rFonts w:asciiTheme="majorBidi" w:hAnsiTheme="majorBidi"/>
        </w:rPr>
      </w:pPr>
      <w:r w:rsidRPr="00D77412">
        <w:rPr>
          <w:rFonts w:asciiTheme="majorBidi" w:hAnsiTheme="majorBidi"/>
        </w:rPr>
        <w:t xml:space="preserve">Appendix B. Glossary of key Islamic legal terms </w:t>
      </w:r>
    </w:p>
    <w:p w14:paraId="7833DC3A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Note. Arabic term is given first, followed by transliteration and a concise working definition as used in this article.</w:t>
      </w:r>
    </w:p>
    <w:p w14:paraId="78948943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العقل (ʿaql): Reason/rational capacity; the foundational juristic criterion for imputability. In the paper, it frames how courts linguistically connect psychiatric diagnosis to legal assessments of agency.</w:t>
      </w:r>
    </w:p>
    <w:p w14:paraId="7562DAA1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الأهلية (ahliyya): Legal capacity/competence. In homicide reasoning, judgments may explicitly grade it (e.g., كامل/ناقص/عدم كمال الأهلية) to justify mitigation.</w:t>
      </w:r>
    </w:p>
    <w:p w14:paraId="6C6A461A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التكليف (taklīf): Moral-legal accountability; the condition under which a person is addressed by legal obligations. Used as the doctrinal backdrop for linking cognition/volition to liability.</w:t>
      </w:r>
    </w:p>
    <w:p w14:paraId="441037C6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الاختيار (ikhtiyār): Volition/choice; the capacity to intend and control action. Often paired conceptually with العقل and التمييز in discussions of responsibility.</w:t>
      </w:r>
    </w:p>
    <w:p w14:paraId="3D388929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التمييز (tamyīz): Discernment (ability to distinguish and understand). A key intermediate notion between العقل (rationality) and full criminal responsibility.</w:t>
      </w:r>
    </w:p>
    <w:p w14:paraId="3CF2C8C1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الحد/الحدود (ḥadd/ḥudūd): Fixed punishments prescribed for specified offenses. In the focal case, the prosecution sought a fixed capital punishment under a doctrinal label.</w:t>
      </w:r>
    </w:p>
    <w:p w14:paraId="490C6C4E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الحرابة (ḥirāba): Brigandage/corruption on earth category; often invoked in severe violent cases. The focal corpus includes language about «حد الحرابة» and its doctrinal avoidance.</w:t>
      </w:r>
    </w:p>
    <w:p w14:paraId="7CA3BE27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درء الحد (darʾ al-ḥadd): Warding off a fixed penalty in the presence of a legally recognized doubt/impediment (e.g., impaired capacity).</w:t>
      </w:r>
    </w:p>
    <w:p w14:paraId="30C2EBDC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القصاص (qiṣāṣ): Retaliation in homicide/bodily injury cases; a private-right-centered logic that can be affected by procedural posture and evidentiary thresholds.</w:t>
      </w:r>
    </w:p>
    <w:p w14:paraId="40DF1CFB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الدية (diyah): Blood money/compensatory payment; a monetary remedy in homicide/bodily injury matters, sometimes relevant when full retaliation is not applied.</w:t>
      </w:r>
    </w:p>
    <w:p w14:paraId="4A679CA7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التعزير (taʿzīr): Discretionary punishment set by the judge when ḥadd/qiṣāṣ is not applied or is warded off. The focal corpus includes «تعزيره» with imprisonment and lashes.</w:t>
      </w:r>
    </w:p>
    <w:p w14:paraId="03F199D9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الغيلة (ghīla): Treacherous killing—classically associated with stealth, ambush, or killing a sleeping victim. The corpus summary explicitly notes a request for «حد الغيلة».</w:t>
      </w:r>
    </w:p>
    <w:p w14:paraId="66A7D1E0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قتل عمد (qatl ʿamd): Intentional homicide; a key classification affecting doctrinal route (qiṣāṣ vs. other outcomes).</w:t>
      </w:r>
    </w:p>
    <w:p w14:paraId="4F2B797B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قتل خطأ (qatl khaṭaʾ): Accidental/non-intentional killing; contrasts with qatl ʿamd in doctrinal classification and sanctions.</w:t>
      </w:r>
    </w:p>
    <w:p w14:paraId="51E04E3B" w14:textId="77777777" w:rsidR="00CF6A85" w:rsidRPr="00D77412" w:rsidRDefault="00000000" w:rsidP="00D77412">
      <w:pPr>
        <w:spacing w:after="0" w:line="360" w:lineRule="auto"/>
        <w:rPr>
          <w:rFonts w:asciiTheme="majorBidi" w:hAnsiTheme="majorBidi" w:cstheme="majorBidi"/>
        </w:rPr>
      </w:pPr>
      <w:r w:rsidRPr="00D77412">
        <w:rPr>
          <w:rFonts w:asciiTheme="majorBidi" w:hAnsiTheme="majorBidi" w:cstheme="majorBidi"/>
        </w:rPr>
        <w:t>شبهة (shubha): Legal doubt/ambiguity that can block ḥadd application and support mitigation; conceptually relevant to darʾ logic even when not explicitly named.</w:t>
      </w:r>
    </w:p>
    <w:sectPr w:rsidR="00CF6A85" w:rsidRPr="00D774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5592062">
    <w:abstractNumId w:val="8"/>
  </w:num>
  <w:num w:numId="2" w16cid:durableId="272134604">
    <w:abstractNumId w:val="6"/>
  </w:num>
  <w:num w:numId="3" w16cid:durableId="950697461">
    <w:abstractNumId w:val="5"/>
  </w:num>
  <w:num w:numId="4" w16cid:durableId="328681453">
    <w:abstractNumId w:val="4"/>
  </w:num>
  <w:num w:numId="5" w16cid:durableId="614020145">
    <w:abstractNumId w:val="7"/>
  </w:num>
  <w:num w:numId="6" w16cid:durableId="1740900828">
    <w:abstractNumId w:val="3"/>
  </w:num>
  <w:num w:numId="7" w16cid:durableId="1889106497">
    <w:abstractNumId w:val="2"/>
  </w:num>
  <w:num w:numId="8" w16cid:durableId="1286892624">
    <w:abstractNumId w:val="1"/>
  </w:num>
  <w:num w:numId="9" w16cid:durableId="66559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33506"/>
    <w:rsid w:val="00AA1D8D"/>
    <w:rsid w:val="00B47730"/>
    <w:rsid w:val="00CB0664"/>
    <w:rsid w:val="00CF6A85"/>
    <w:rsid w:val="00D774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30E61"/>
  <w14:defaultImageDpi w14:val="300"/>
  <w15:docId w15:val="{AC163931-81BA-43A0-B58E-27406482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2271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mohamed39</cp:lastModifiedBy>
  <cp:revision>2</cp:revision>
  <dcterms:created xsi:type="dcterms:W3CDTF">2013-12-23T23:15:00Z</dcterms:created>
  <dcterms:modified xsi:type="dcterms:W3CDTF">2026-03-05T18:10:00Z</dcterms:modified>
  <cp:category/>
</cp:coreProperties>
</file>