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240" w:after="120"/>
        <w:ind w:hanging="0" w:start="0"/>
        <w:rPr>
          <w:rFonts w:eastAsia="Arial"/>
          <w:sz w:val="26"/>
          <w:szCs w:val="26"/>
          <w:lang w:val="en-US"/>
        </w:rPr>
      </w:pPr>
      <w:r>
        <w:rPr>
          <w:rFonts w:eastAsia="Arial"/>
          <w:sz w:val="26"/>
          <w:szCs w:val="26"/>
          <w:lang w:val="en-US"/>
        </w:rPr>
        <w:t>Supplementary Information</w:t>
      </w:r>
    </w:p>
    <w:p>
      <w:pPr>
        <w:pStyle w:val="Heading2"/>
        <w:numPr>
          <w:ilvl w:val="0"/>
          <w:numId w:val="0"/>
        </w:numPr>
        <w:spacing w:before="0" w:after="120"/>
        <w:ind w:hanging="851" w:start="851"/>
        <w:rPr>
          <w:sz w:val="26"/>
          <w:szCs w:val="26"/>
          <w:lang w:val="en-US"/>
        </w:rPr>
      </w:pPr>
      <w:r>
        <w:rPr>
          <w:rFonts w:eastAsia="Arial"/>
          <w:sz w:val="26"/>
          <w:szCs w:val="26"/>
          <w:lang w:val="en-US"/>
        </w:rPr>
        <w:t>Supplementary Tables 1–3: benchmarking analyses for the university hospital’s current fall-risk assessment categories.</w:t>
      </w:r>
    </w:p>
    <w:p>
      <w:pPr>
        <w:pStyle w:val="Basictext"/>
        <w:spacing w:lineRule="auto" w:line="480"/>
        <w:rPr>
          <w:sz w:val="20"/>
          <w:szCs w:val="20"/>
          <w:lang w:val="en-US"/>
        </w:rPr>
      </w:pPr>
      <w:r>
        <w:rPr>
          <w:sz w:val="20"/>
          <w:szCs w:val="20"/>
          <w:lang w:val="en-US"/>
        </w:rPr>
        <w:t>We evaluated the university hospital's fall risk assessment, which categorizes patients as "0" (no increased risk of falling), "+", or "++". These analyses are restricted to admissions with an available hospital fall-risk assessment score and complete benchmark variables, which explains the smaller sample size relative to the full analytic cohort. Using logistic regression with a 90%/10% train-test split, the regression coefficients and model statistics are shown in Supplementary Table 1. Supplementary Table 2 displays odds ratios, 95% confidence intervals, LLR p-value, and pseudo R-squared. Patients with a "+" score are over four times (OR 4.17) and "++" score over six times (OR 6.31) more likely to fall than those scored "0".</w:t>
      </w:r>
    </w:p>
    <w:p>
      <w:pPr>
        <w:pStyle w:val="Basictext"/>
        <w:rPr>
          <w:sz w:val="20"/>
          <w:szCs w:val="20"/>
          <w:lang w:val="en-US"/>
        </w:rPr>
      </w:pPr>
      <w:r>
        <w:rPr>
          <w:b/>
          <w:bCs/>
          <w:sz w:val="20"/>
          <w:szCs w:val="20"/>
          <w:lang w:val="en-US"/>
        </w:rPr>
        <w:t>Supplementary Table 1</w:t>
      </w:r>
      <w:r>
        <w:rPr>
          <w:sz w:val="20"/>
          <w:szCs w:val="20"/>
          <w:lang w:val="en-US"/>
        </w:rPr>
        <w:t>. Results of logistic regression with fall incidents as DV and the university hospital's fall risk assessment as IV</w:t>
      </w:r>
    </w:p>
    <w:tbl>
      <w:tblPr>
        <w:tblW w:w="9387" w:type="dxa"/>
        <w:jc w:val="start"/>
        <w:tblInd w:w="-109" w:type="dxa"/>
        <w:tblLayout w:type="fixed"/>
        <w:tblCellMar>
          <w:top w:w="0" w:type="dxa"/>
          <w:start w:w="108" w:type="dxa"/>
          <w:bottom w:w="0" w:type="dxa"/>
          <w:end w:w="108" w:type="dxa"/>
        </w:tblCellMar>
      </w:tblPr>
      <w:tblGrid>
        <w:gridCol w:w="1342"/>
        <w:gridCol w:w="1339"/>
        <w:gridCol w:w="1343"/>
        <w:gridCol w:w="1335"/>
        <w:gridCol w:w="1348"/>
        <w:gridCol w:w="1338"/>
        <w:gridCol w:w="1342"/>
      </w:tblGrid>
      <w:tr>
        <w:trPr>
          <w:trHeight w:val="600" w:hRule="atLeast"/>
        </w:trPr>
        <w:tc>
          <w:tcPr>
            <w:tcW w:w="5359" w:type="dxa"/>
            <w:gridSpan w:val="4"/>
            <w:tcBorders>
              <w:bottom w:val="dash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No. Observations:                                              511.551</w:t>
            </w:r>
            <w:r>
              <w:rPr>
                <w:lang w:val="en-US"/>
              </w:rPr>
              <w:br/>
            </w:r>
            <w:r>
              <w:rPr>
                <w:rFonts w:eastAsia="DejaVu Sans" w:cs="DejaVu Sans" w:ascii="Arial" w:hAnsi="Arial"/>
                <w:sz w:val="20"/>
                <w:szCs w:val="20"/>
                <w:lang w:val="en-US"/>
              </w:rPr>
              <w:t>LLR p-value:                                                          0.000</w:t>
            </w:r>
          </w:p>
        </w:tc>
        <w:tc>
          <w:tcPr>
            <w:tcW w:w="4028" w:type="dxa"/>
            <w:gridSpan w:val="3"/>
            <w:tcBorders>
              <w:bottom w:val="dash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Pseudo R-squ.:                              0.07142</w:t>
            </w:r>
            <w:r>
              <w:rPr>
                <w:lang w:val="en-US"/>
              </w:rPr>
              <w:br/>
            </w:r>
            <w:r>
              <w:rPr>
                <w:rFonts w:eastAsia="DejaVu Sans" w:cs="DejaVu Sans" w:ascii="Arial" w:hAnsi="Arial"/>
                <w:sz w:val="20"/>
                <w:szCs w:val="20"/>
                <w:lang w:val="en-US"/>
              </w:rPr>
              <w:t>Log-Likelihood:                             -31983.</w:t>
            </w:r>
          </w:p>
        </w:tc>
      </w:tr>
      <w:tr>
        <w:trPr>
          <w:trHeight w:val="300" w:hRule="atLeast"/>
        </w:trPr>
        <w:tc>
          <w:tcPr>
            <w:tcW w:w="1342" w:type="dxa"/>
            <w:tcBorders>
              <w:top w:val="dashed" w:sz="6" w:space="0" w:color="000000"/>
              <w:bottom w:val="dotted" w:sz="6" w:space="0" w:color="000000"/>
            </w:tcBorders>
          </w:tcPr>
          <w:p>
            <w:pPr>
              <w:pStyle w:val="Basictext"/>
              <w:keepLines/>
              <w:widowControl w:val="false"/>
              <w:spacing w:before="0" w:after="0"/>
              <w:contextualSpacing/>
              <w:rPr>
                <w:rFonts w:ascii="Arial" w:hAnsi="Arial" w:eastAsia="DejaVu Sans" w:cs="DejaVu Sans"/>
                <w:lang w:val="en-US"/>
              </w:rPr>
            </w:pPr>
            <w:r>
              <w:rPr>
                <w:rFonts w:eastAsia="DejaVu Sans" w:cs="DejaVu Sans" w:ascii="Arial" w:hAnsi="Arial"/>
                <w:lang w:val="en-US"/>
              </w:rPr>
            </w:r>
          </w:p>
        </w:tc>
        <w:tc>
          <w:tcPr>
            <w:tcW w:w="1339" w:type="dxa"/>
            <w:tcBorders>
              <w:top w:val="dashed" w:sz="6" w:space="0" w:color="000000"/>
              <w:bottom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coef</w:t>
            </w:r>
          </w:p>
        </w:tc>
        <w:tc>
          <w:tcPr>
            <w:tcW w:w="1343" w:type="dxa"/>
            <w:tcBorders>
              <w:top w:val="dashed" w:sz="6" w:space="0" w:color="000000"/>
              <w:bottom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std err</w:t>
            </w:r>
          </w:p>
        </w:tc>
        <w:tc>
          <w:tcPr>
            <w:tcW w:w="1335" w:type="dxa"/>
            <w:tcBorders>
              <w:top w:val="dashed" w:sz="6" w:space="0" w:color="000000"/>
              <w:bottom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z</w:t>
            </w:r>
          </w:p>
        </w:tc>
        <w:tc>
          <w:tcPr>
            <w:tcW w:w="1348" w:type="dxa"/>
            <w:tcBorders>
              <w:top w:val="dashed" w:sz="6" w:space="0" w:color="000000"/>
              <w:bottom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P &gt;|z|</w:t>
            </w:r>
          </w:p>
        </w:tc>
        <w:tc>
          <w:tcPr>
            <w:tcW w:w="1338" w:type="dxa"/>
            <w:tcBorders>
              <w:top w:val="dashed" w:sz="6" w:space="0" w:color="000000"/>
              <w:bottom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[0.025</w:t>
            </w:r>
          </w:p>
        </w:tc>
        <w:tc>
          <w:tcPr>
            <w:tcW w:w="1342" w:type="dxa"/>
            <w:tcBorders>
              <w:top w:val="dashed" w:sz="6" w:space="0" w:color="000000"/>
              <w:bottom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0.975]</w:t>
            </w:r>
          </w:p>
        </w:tc>
      </w:tr>
      <w:tr>
        <w:trPr>
          <w:trHeight w:val="300" w:hRule="atLeast"/>
        </w:trPr>
        <w:tc>
          <w:tcPr>
            <w:tcW w:w="1342" w:type="dxa"/>
            <w:tcBorders>
              <w:top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const</w:t>
            </w:r>
          </w:p>
        </w:tc>
        <w:tc>
          <w:tcPr>
            <w:tcW w:w="1339" w:type="dxa"/>
            <w:tcBorders>
              <w:top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-3.8824</w:t>
            </w:r>
          </w:p>
        </w:tc>
        <w:tc>
          <w:tcPr>
            <w:tcW w:w="1343" w:type="dxa"/>
            <w:tcBorders>
              <w:top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0.103</w:t>
            </w:r>
          </w:p>
        </w:tc>
        <w:tc>
          <w:tcPr>
            <w:tcW w:w="1335" w:type="dxa"/>
            <w:tcBorders>
              <w:top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-37.654</w:t>
            </w:r>
          </w:p>
        </w:tc>
        <w:tc>
          <w:tcPr>
            <w:tcW w:w="1348" w:type="dxa"/>
            <w:tcBorders>
              <w:top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0.000</w:t>
            </w:r>
          </w:p>
        </w:tc>
        <w:tc>
          <w:tcPr>
            <w:tcW w:w="1338" w:type="dxa"/>
            <w:tcBorders>
              <w:top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-4.085</w:t>
            </w:r>
          </w:p>
        </w:tc>
        <w:tc>
          <w:tcPr>
            <w:tcW w:w="1342" w:type="dxa"/>
            <w:tcBorders>
              <w:top w:val="dotted" w:sz="6"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-3.680</w:t>
            </w:r>
          </w:p>
        </w:tc>
      </w:tr>
      <w:tr>
        <w:trPr>
          <w:trHeight w:val="300" w:hRule="atLeast"/>
        </w:trPr>
        <w:tc>
          <w:tcPr>
            <w:tcW w:w="1342"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w:t>
            </w:r>
          </w:p>
        </w:tc>
        <w:tc>
          <w:tcPr>
            <w:tcW w:w="1339"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-1.4846</w:t>
            </w:r>
          </w:p>
        </w:tc>
        <w:tc>
          <w:tcPr>
            <w:tcW w:w="1343"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0.106</w:t>
            </w:r>
          </w:p>
        </w:tc>
        <w:tc>
          <w:tcPr>
            <w:tcW w:w="1335"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-13.978</w:t>
            </w:r>
          </w:p>
        </w:tc>
        <w:tc>
          <w:tcPr>
            <w:tcW w:w="1348"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0.000</w:t>
            </w:r>
          </w:p>
        </w:tc>
        <w:tc>
          <w:tcPr>
            <w:tcW w:w="1338"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-1.693</w:t>
            </w:r>
          </w:p>
        </w:tc>
        <w:tc>
          <w:tcPr>
            <w:tcW w:w="1342"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-1.276</w:t>
            </w:r>
          </w:p>
        </w:tc>
      </w:tr>
      <w:tr>
        <w:trPr>
          <w:trHeight w:val="300" w:hRule="atLeast"/>
        </w:trPr>
        <w:tc>
          <w:tcPr>
            <w:tcW w:w="1342"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w:t>
            </w:r>
          </w:p>
        </w:tc>
        <w:tc>
          <w:tcPr>
            <w:tcW w:w="1339"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0.2461</w:t>
            </w:r>
          </w:p>
        </w:tc>
        <w:tc>
          <w:tcPr>
            <w:tcW w:w="1343"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0.104</w:t>
            </w:r>
          </w:p>
        </w:tc>
        <w:tc>
          <w:tcPr>
            <w:tcW w:w="1335"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2.361</w:t>
            </w:r>
          </w:p>
        </w:tc>
        <w:tc>
          <w:tcPr>
            <w:tcW w:w="1348"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0.018</w:t>
            </w:r>
          </w:p>
        </w:tc>
        <w:tc>
          <w:tcPr>
            <w:tcW w:w="1338"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0.042</w:t>
            </w:r>
          </w:p>
        </w:tc>
        <w:tc>
          <w:tcPr>
            <w:tcW w:w="1342" w:type="dxa"/>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0.451</w:t>
            </w:r>
          </w:p>
        </w:tc>
      </w:tr>
      <w:tr>
        <w:trPr>
          <w:trHeight w:val="300" w:hRule="atLeast"/>
        </w:trPr>
        <w:tc>
          <w:tcPr>
            <w:tcW w:w="1342" w:type="dxa"/>
            <w:tcBorders>
              <w:bottom w:val="dotted" w:sz="4"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w:t>
            </w:r>
          </w:p>
        </w:tc>
        <w:tc>
          <w:tcPr>
            <w:tcW w:w="1339" w:type="dxa"/>
            <w:tcBorders>
              <w:bottom w:val="dotted" w:sz="4"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1.2958</w:t>
            </w:r>
          </w:p>
        </w:tc>
        <w:tc>
          <w:tcPr>
            <w:tcW w:w="1343" w:type="dxa"/>
            <w:tcBorders>
              <w:bottom w:val="dotted" w:sz="4"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0.113</w:t>
            </w:r>
          </w:p>
        </w:tc>
        <w:tc>
          <w:tcPr>
            <w:tcW w:w="1335" w:type="dxa"/>
            <w:tcBorders>
              <w:bottom w:val="dotted" w:sz="4"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11.449</w:t>
            </w:r>
          </w:p>
        </w:tc>
        <w:tc>
          <w:tcPr>
            <w:tcW w:w="1348" w:type="dxa"/>
            <w:tcBorders>
              <w:bottom w:val="dotted" w:sz="4"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0.000</w:t>
            </w:r>
          </w:p>
        </w:tc>
        <w:tc>
          <w:tcPr>
            <w:tcW w:w="1338" w:type="dxa"/>
            <w:tcBorders>
              <w:bottom w:val="dotted" w:sz="4"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1.074</w:t>
            </w:r>
          </w:p>
        </w:tc>
        <w:tc>
          <w:tcPr>
            <w:tcW w:w="1342" w:type="dxa"/>
            <w:tcBorders>
              <w:bottom w:val="dotted" w:sz="4" w:space="0" w:color="000000"/>
            </w:tcBorders>
          </w:tcPr>
          <w:p>
            <w:pPr>
              <w:pStyle w:val="Basictext"/>
              <w:keepLines/>
              <w:widowControl w:val="false"/>
              <w:spacing w:before="0" w:after="0"/>
              <w:contextualSpacing/>
              <w:rPr>
                <w:rFonts w:ascii="Arial" w:hAnsi="Arial" w:eastAsia="DejaVu Sans" w:cs="DejaVu Sans"/>
                <w:sz w:val="20"/>
                <w:szCs w:val="20"/>
                <w:lang w:val="en-US"/>
              </w:rPr>
            </w:pPr>
            <w:r>
              <w:rPr>
                <w:rFonts w:eastAsia="DejaVu Sans" w:cs="DejaVu Sans" w:ascii="Arial" w:hAnsi="Arial"/>
                <w:sz w:val="20"/>
                <w:szCs w:val="20"/>
                <w:lang w:val="en-US"/>
              </w:rPr>
              <w:t>1.518</w:t>
            </w:r>
          </w:p>
        </w:tc>
      </w:tr>
    </w:tbl>
    <w:p>
      <w:pPr>
        <w:pStyle w:val="Basictext"/>
        <w:spacing w:lineRule="auto" w:line="360"/>
        <w:rPr>
          <w:sz w:val="20"/>
          <w:szCs w:val="20"/>
          <w:lang w:val="en-US"/>
        </w:rPr>
      </w:pPr>
      <w:r>
        <w:rPr>
          <w:b/>
          <w:bCs/>
          <w:sz w:val="20"/>
          <w:szCs w:val="20"/>
          <w:lang w:val="en-US"/>
        </w:rPr>
        <w:t xml:space="preserve">Supplementary Table 2. </w:t>
      </w:r>
      <w:r>
        <w:rPr>
          <w:sz w:val="20"/>
          <w:szCs w:val="20"/>
          <w:lang w:val="en-US"/>
        </w:rPr>
        <w:t>Odds Ratios and Associated Metrics for Fall Risk Assessment Categories at the University Hospital</w:t>
      </w:r>
    </w:p>
    <w:tbl>
      <w:tblPr>
        <w:tblW w:w="9390" w:type="dxa"/>
        <w:jc w:val="start"/>
        <w:tblInd w:w="-105" w:type="dxa"/>
        <w:tblLayout w:type="fixed"/>
        <w:tblCellMar>
          <w:top w:w="0" w:type="dxa"/>
          <w:start w:w="105" w:type="dxa"/>
          <w:bottom w:w="0" w:type="dxa"/>
          <w:end w:w="105" w:type="dxa"/>
        </w:tblCellMar>
      </w:tblPr>
      <w:tblGrid>
        <w:gridCol w:w="3676"/>
        <w:gridCol w:w="720"/>
        <w:gridCol w:w="991"/>
        <w:gridCol w:w="770"/>
        <w:gridCol w:w="893"/>
        <w:gridCol w:w="1062"/>
        <w:gridCol w:w="1278"/>
      </w:tblGrid>
      <w:tr>
        <w:trPr>
          <w:trHeight w:val="300" w:hRule="atLeast"/>
        </w:trPr>
        <w:tc>
          <w:tcPr>
            <w:tcW w:w="3676" w:type="dxa"/>
            <w:tcBorders>
              <w:top w:val="single" w:sz="4" w:space="0" w:color="000000"/>
              <w:bottom w:val="single" w:sz="4" w:space="0" w:color="000000"/>
            </w:tcBorders>
            <w:vAlign w:val="center"/>
          </w:tcPr>
          <w:p>
            <w:pPr>
              <w:pStyle w:val="Normal"/>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Feature</w:t>
            </w:r>
          </w:p>
        </w:tc>
        <w:tc>
          <w:tcPr>
            <w:tcW w:w="720" w:type="dxa"/>
            <w:tcBorders>
              <w:top w:val="single" w:sz="4" w:space="0" w:color="000000"/>
              <w:bottom w:val="single" w:sz="4" w:space="0" w:color="000000"/>
            </w:tcBorders>
            <w:vAlign w:val="center"/>
          </w:tcPr>
          <w:p>
            <w:pPr>
              <w:pStyle w:val="Normal"/>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OR</w:t>
            </w:r>
          </w:p>
        </w:tc>
        <w:tc>
          <w:tcPr>
            <w:tcW w:w="991" w:type="dxa"/>
            <w:tcBorders>
              <w:top w:val="single" w:sz="4" w:space="0" w:color="000000"/>
              <w:bottom w:val="single" w:sz="4" w:space="0" w:color="000000"/>
            </w:tcBorders>
            <w:vAlign w:val="center"/>
          </w:tcPr>
          <w:p>
            <w:pPr>
              <w:pStyle w:val="Normal"/>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p-value</w:t>
            </w:r>
          </w:p>
        </w:tc>
        <w:tc>
          <w:tcPr>
            <w:tcW w:w="770" w:type="dxa"/>
            <w:tcBorders>
              <w:top w:val="single" w:sz="4" w:space="0" w:color="000000"/>
              <w:bottom w:val="single" w:sz="4" w:space="0" w:color="000000"/>
            </w:tcBorders>
            <w:vAlign w:val="center"/>
          </w:tcPr>
          <w:p>
            <w:pPr>
              <w:pStyle w:val="Normal"/>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2.5%</w:t>
            </w:r>
          </w:p>
        </w:tc>
        <w:tc>
          <w:tcPr>
            <w:tcW w:w="893" w:type="dxa"/>
            <w:tcBorders>
              <w:top w:val="single" w:sz="4" w:space="0" w:color="000000"/>
              <w:bottom w:val="single" w:sz="4" w:space="0" w:color="000000"/>
            </w:tcBorders>
            <w:vAlign w:val="center"/>
          </w:tcPr>
          <w:p>
            <w:pPr>
              <w:pStyle w:val="Normal"/>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97.5%</w:t>
            </w:r>
          </w:p>
        </w:tc>
        <w:tc>
          <w:tcPr>
            <w:tcW w:w="1062" w:type="dxa"/>
            <w:tcBorders>
              <w:top w:val="single" w:sz="4" w:space="0" w:color="000000"/>
              <w:bottom w:val="single" w:sz="4" w:space="0" w:color="000000"/>
            </w:tcBorders>
            <w:vAlign w:val="center"/>
          </w:tcPr>
          <w:p>
            <w:pPr>
              <w:pStyle w:val="Normal"/>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LLR p-value</w:t>
            </w:r>
          </w:p>
        </w:tc>
        <w:tc>
          <w:tcPr>
            <w:tcW w:w="1278" w:type="dxa"/>
            <w:tcBorders>
              <w:top w:val="single" w:sz="4" w:space="0" w:color="000000"/>
              <w:bottom w:val="single" w:sz="4" w:space="0" w:color="000000"/>
            </w:tcBorders>
            <w:vAlign w:val="center"/>
          </w:tcPr>
          <w:p>
            <w:pPr>
              <w:pStyle w:val="Normal"/>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Pseudo R-squared</w:t>
            </w:r>
          </w:p>
        </w:tc>
      </w:tr>
      <w:tr>
        <w:trPr>
          <w:trHeight w:val="300" w:hRule="atLeast"/>
        </w:trPr>
        <w:tc>
          <w:tcPr>
            <w:tcW w:w="3676" w:type="dxa"/>
            <w:tcBorders>
              <w:top w:val="single" w:sz="4" w:space="0" w:color="000000"/>
            </w:tcBorders>
            <w:vAlign w:val="center"/>
          </w:tcPr>
          <w:p>
            <w:pPr>
              <w:pStyle w:val="Normal"/>
              <w:widowControl w:val="false"/>
              <w:bidi w:val="0"/>
              <w:spacing w:before="0" w:after="0"/>
              <w:contextualSpacing/>
              <w:jc w:val="start"/>
              <w:rPr>
                <w:rFonts w:ascii="Arial" w:hAnsi="Arial" w:eastAsia="DejaVu Sans" w:cs="DejaVu Sans"/>
                <w:sz w:val="20"/>
                <w:szCs w:val="20"/>
              </w:rPr>
            </w:pPr>
            <w:r>
              <w:rPr>
                <w:rFonts w:eastAsia="DejaVu Sans" w:cs="DejaVu Sans" w:ascii="Arial" w:hAnsi="Arial"/>
                <w:sz w:val="20"/>
                <w:szCs w:val="20"/>
              </w:rPr>
              <w:t>0 (no increased risk of falling)</w:t>
            </w:r>
          </w:p>
        </w:tc>
        <w:tc>
          <w:tcPr>
            <w:tcW w:w="720" w:type="dxa"/>
            <w:tcBorders>
              <w:top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0.17</w:t>
            </w:r>
          </w:p>
        </w:tc>
        <w:tc>
          <w:tcPr>
            <w:tcW w:w="991" w:type="dxa"/>
            <w:tcBorders>
              <w:top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w:t>
            </w:r>
          </w:p>
        </w:tc>
        <w:tc>
          <w:tcPr>
            <w:tcW w:w="770" w:type="dxa"/>
            <w:tcBorders>
              <w:top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0.160</w:t>
            </w:r>
          </w:p>
        </w:tc>
        <w:tc>
          <w:tcPr>
            <w:tcW w:w="893" w:type="dxa"/>
            <w:tcBorders>
              <w:top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0.178</w:t>
            </w:r>
          </w:p>
        </w:tc>
        <w:tc>
          <w:tcPr>
            <w:tcW w:w="1062" w:type="dxa"/>
            <w:tcBorders>
              <w:top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0.000</w:t>
            </w:r>
          </w:p>
        </w:tc>
        <w:tc>
          <w:tcPr>
            <w:tcW w:w="1278" w:type="dxa"/>
            <w:tcBorders>
              <w:top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0.065</w:t>
            </w:r>
          </w:p>
        </w:tc>
      </w:tr>
      <w:tr>
        <w:trPr>
          <w:trHeight w:val="300" w:hRule="atLeast"/>
        </w:trPr>
        <w:tc>
          <w:tcPr>
            <w:tcW w:w="3676" w:type="dxa"/>
            <w:tcBorders/>
            <w:vAlign w:val="center"/>
          </w:tcPr>
          <w:p>
            <w:pPr>
              <w:pStyle w:val="Normal"/>
              <w:widowControl w:val="false"/>
              <w:bidi w:val="0"/>
              <w:spacing w:before="0" w:after="0"/>
              <w:contextualSpacing/>
              <w:jc w:val="start"/>
              <w:rPr>
                <w:rFonts w:ascii="Arial" w:hAnsi="Arial" w:eastAsia="DejaVu Sans" w:cs="DejaVu Sans"/>
                <w:sz w:val="20"/>
                <w:szCs w:val="20"/>
              </w:rPr>
            </w:pPr>
            <w:r>
              <w:rPr>
                <w:rFonts w:eastAsia="DejaVu Sans" w:cs="DejaVu Sans" w:ascii="Arial" w:hAnsi="Arial"/>
                <w:b/>
                <w:bCs/>
                <w:sz w:val="20"/>
                <w:szCs w:val="20"/>
              </w:rPr>
              <w:t>+</w:t>
            </w:r>
            <w:r>
              <w:rPr>
                <w:rFonts w:eastAsia="DejaVu Sans" w:cs="DejaVu Sans" w:ascii="Arial" w:hAnsi="Arial"/>
                <w:sz w:val="20"/>
                <w:szCs w:val="20"/>
              </w:rPr>
              <w:t xml:space="preserve"> (increased risk of falling)</w:t>
            </w:r>
          </w:p>
        </w:tc>
        <w:tc>
          <w:tcPr>
            <w:tcW w:w="720" w:type="dxa"/>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4.17</w:t>
            </w:r>
          </w:p>
        </w:tc>
        <w:tc>
          <w:tcPr>
            <w:tcW w:w="991" w:type="dxa"/>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w:t>
            </w:r>
          </w:p>
        </w:tc>
        <w:tc>
          <w:tcPr>
            <w:tcW w:w="770" w:type="dxa"/>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3.971</w:t>
            </w:r>
          </w:p>
        </w:tc>
        <w:tc>
          <w:tcPr>
            <w:tcW w:w="893" w:type="dxa"/>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4.384</w:t>
            </w:r>
          </w:p>
        </w:tc>
        <w:tc>
          <w:tcPr>
            <w:tcW w:w="1062" w:type="dxa"/>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0.000</w:t>
            </w:r>
          </w:p>
        </w:tc>
        <w:tc>
          <w:tcPr>
            <w:tcW w:w="1278" w:type="dxa"/>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0.045</w:t>
            </w:r>
          </w:p>
        </w:tc>
      </w:tr>
      <w:tr>
        <w:trPr>
          <w:trHeight w:val="300" w:hRule="atLeast"/>
        </w:trPr>
        <w:tc>
          <w:tcPr>
            <w:tcW w:w="3676" w:type="dxa"/>
            <w:tcBorders>
              <w:bottom w:val="single" w:sz="4" w:space="0" w:color="000000"/>
            </w:tcBorders>
            <w:vAlign w:val="center"/>
          </w:tcPr>
          <w:p>
            <w:pPr>
              <w:pStyle w:val="Normal"/>
              <w:widowControl w:val="false"/>
              <w:bidi w:val="0"/>
              <w:spacing w:before="0" w:after="0"/>
              <w:contextualSpacing/>
              <w:jc w:val="start"/>
              <w:rPr>
                <w:rFonts w:ascii="Arial" w:hAnsi="Arial" w:eastAsia="DejaVu Sans" w:cs="DejaVu Sans"/>
                <w:sz w:val="20"/>
                <w:szCs w:val="20"/>
              </w:rPr>
            </w:pPr>
            <w:r>
              <w:rPr>
                <w:rFonts w:eastAsia="DejaVu Sans" w:cs="DejaVu Sans" w:ascii="Arial" w:hAnsi="Arial"/>
                <w:b/>
                <w:bCs/>
                <w:sz w:val="20"/>
                <w:szCs w:val="20"/>
              </w:rPr>
              <w:t>++</w:t>
            </w:r>
            <w:r>
              <w:rPr>
                <w:rFonts w:eastAsia="DejaVu Sans" w:cs="DejaVu Sans" w:ascii="Arial" w:hAnsi="Arial"/>
                <w:sz w:val="20"/>
                <w:szCs w:val="20"/>
              </w:rPr>
              <w:t xml:space="preserve"> (significantly increased risk of falling)</w:t>
            </w:r>
          </w:p>
        </w:tc>
        <w:tc>
          <w:tcPr>
            <w:tcW w:w="720" w:type="dxa"/>
            <w:tcBorders>
              <w:bottom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6.31</w:t>
            </w:r>
          </w:p>
        </w:tc>
        <w:tc>
          <w:tcPr>
            <w:tcW w:w="991" w:type="dxa"/>
            <w:tcBorders>
              <w:bottom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w:t>
            </w:r>
          </w:p>
        </w:tc>
        <w:tc>
          <w:tcPr>
            <w:tcW w:w="770" w:type="dxa"/>
            <w:tcBorders>
              <w:bottom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5.766</w:t>
            </w:r>
          </w:p>
        </w:tc>
        <w:tc>
          <w:tcPr>
            <w:tcW w:w="893" w:type="dxa"/>
            <w:tcBorders>
              <w:bottom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6.905</w:t>
            </w:r>
          </w:p>
        </w:tc>
        <w:tc>
          <w:tcPr>
            <w:tcW w:w="1062" w:type="dxa"/>
            <w:tcBorders>
              <w:bottom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0.000</w:t>
            </w:r>
          </w:p>
        </w:tc>
        <w:tc>
          <w:tcPr>
            <w:tcW w:w="1278" w:type="dxa"/>
            <w:tcBorders>
              <w:bottom w:val="single" w:sz="4" w:space="0" w:color="000000"/>
            </w:tcBorders>
            <w:vAlign w:val="center"/>
          </w:tcPr>
          <w:p>
            <w:pPr>
              <w:pStyle w:val="Normal"/>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0.014</w:t>
            </w:r>
          </w:p>
          <w:p>
            <w:pPr>
              <w:pStyle w:val="Normal"/>
              <w:widowControl w:val="false"/>
              <w:bidi w:val="0"/>
              <w:spacing w:before="0" w:after="0"/>
              <w:contextualSpacing/>
              <w:jc w:val="end"/>
              <w:rPr>
                <w:rFonts w:ascii="Arial" w:hAnsi="Arial" w:eastAsia="DejaVu Sans" w:cs="DejaVu Sans"/>
              </w:rPr>
            </w:pPr>
            <w:r>
              <w:rPr>
                <w:rFonts w:eastAsia="DejaVu Sans" w:cs="DejaVu Sans" w:ascii="Arial" w:hAnsi="Arial"/>
              </w:rPr>
            </w:r>
          </w:p>
        </w:tc>
      </w:tr>
    </w:tbl>
    <w:p>
      <w:pPr>
        <w:pStyle w:val="Normal"/>
        <w:widowControl w:val="false"/>
        <w:bidi w:val="0"/>
        <w:spacing w:before="0" w:after="0"/>
        <w:ind w:hanging="284" w:start="284"/>
        <w:jc w:val="start"/>
        <w:rPr>
          <w:rFonts w:cs="Times New Roman"/>
        </w:rPr>
      </w:pPr>
      <w:r>
        <w:rPr>
          <w:rFonts w:cs="Times New Roman"/>
        </w:rPr>
      </w:r>
    </w:p>
    <w:p>
      <w:pPr>
        <w:pStyle w:val="Basictext"/>
        <w:spacing w:lineRule="auto" w:line="480"/>
        <w:rPr>
          <w:sz w:val="20"/>
          <w:szCs w:val="20"/>
          <w:lang w:val="en-US"/>
        </w:rPr>
      </w:pPr>
      <w:r>
        <w:rPr>
          <w:sz w:val="20"/>
          <w:szCs w:val="20"/>
          <w:lang w:val="en-US"/>
        </w:rPr>
        <w:t>Supplementary Table A provides an overview when oversampling for the training sets, so there are no longer any imbalances and then computing a logistic regression.</w:t>
      </w:r>
    </w:p>
    <w:p>
      <w:pPr>
        <w:pStyle w:val="Basictext"/>
        <w:rPr>
          <w:sz w:val="20"/>
          <w:szCs w:val="20"/>
          <w:lang w:val="en-US"/>
        </w:rPr>
      </w:pPr>
      <w:r>
        <w:rPr>
          <w:b/>
          <w:bCs/>
          <w:sz w:val="20"/>
          <w:szCs w:val="20"/>
          <w:lang w:val="en-US"/>
        </w:rPr>
        <w:t xml:space="preserve">Supplementary Table 3. </w:t>
      </w:r>
      <w:r>
        <w:rPr>
          <w:sz w:val="20"/>
          <w:szCs w:val="20"/>
          <w:lang w:val="en-US"/>
        </w:rPr>
        <w:t>Results of logistic regression as modeled in Table B1 except for oversampling</w:t>
      </w:r>
    </w:p>
    <w:tbl>
      <w:tblPr>
        <w:tblW w:w="9406" w:type="dxa"/>
        <w:jc w:val="start"/>
        <w:tblInd w:w="-113" w:type="dxa"/>
        <w:tblLayout w:type="fixed"/>
        <w:tblCellMar>
          <w:top w:w="0" w:type="dxa"/>
          <w:start w:w="108" w:type="dxa"/>
          <w:bottom w:w="0" w:type="dxa"/>
          <w:end w:w="108" w:type="dxa"/>
        </w:tblCellMar>
      </w:tblPr>
      <w:tblGrid>
        <w:gridCol w:w="2100"/>
        <w:gridCol w:w="1827"/>
        <w:gridCol w:w="1821"/>
        <w:gridCol w:w="1821"/>
        <w:gridCol w:w="1837"/>
      </w:tblGrid>
      <w:tr>
        <w:trPr>
          <w:trHeight w:val="300" w:hRule="atLeast"/>
        </w:trPr>
        <w:tc>
          <w:tcPr>
            <w:tcW w:w="2100" w:type="dxa"/>
            <w:tcBorders>
              <w:top w:val="single" w:sz="4" w:space="0" w:color="1E8BCD"/>
              <w:bottom w:val="single" w:sz="2" w:space="0" w:color="000000"/>
            </w:tcBorders>
          </w:tcPr>
          <w:p>
            <w:pPr>
              <w:pStyle w:val="Normal"/>
              <w:keepNext w:val="true"/>
              <w:widowControl w:val="false"/>
              <w:bidi w:val="0"/>
              <w:spacing w:before="0" w:after="0"/>
              <w:contextualSpacing/>
              <w:jc w:val="start"/>
              <w:rPr>
                <w:rFonts w:ascii="Arial" w:hAnsi="Arial" w:eastAsia="DejaVu Sans" w:cs="DejaVu Sans"/>
              </w:rPr>
            </w:pPr>
            <w:r>
              <w:rPr>
                <w:rFonts w:eastAsia="DejaVu Sans" w:cs="DejaVu Sans" w:ascii="Arial" w:hAnsi="Arial"/>
              </w:rPr>
            </w:r>
          </w:p>
        </w:tc>
        <w:tc>
          <w:tcPr>
            <w:tcW w:w="1827" w:type="dxa"/>
            <w:tcBorders>
              <w:top w:val="single" w:sz="4" w:space="0" w:color="1E8BCD"/>
              <w:bottom w:val="single" w:sz="2" w:space="0" w:color="000000"/>
            </w:tcBorders>
          </w:tcPr>
          <w:p>
            <w:pPr>
              <w:pStyle w:val="Normal"/>
              <w:keepNext w:val="true"/>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Precision</w:t>
            </w:r>
          </w:p>
        </w:tc>
        <w:tc>
          <w:tcPr>
            <w:tcW w:w="1821" w:type="dxa"/>
            <w:tcBorders>
              <w:top w:val="single" w:sz="4" w:space="0" w:color="1E8BCD"/>
              <w:bottom w:val="single" w:sz="2" w:space="0" w:color="000000"/>
            </w:tcBorders>
          </w:tcPr>
          <w:p>
            <w:pPr>
              <w:pStyle w:val="Normal"/>
              <w:keepNext w:val="true"/>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Recall</w:t>
            </w:r>
          </w:p>
        </w:tc>
        <w:tc>
          <w:tcPr>
            <w:tcW w:w="1821" w:type="dxa"/>
            <w:tcBorders>
              <w:top w:val="single" w:sz="4" w:space="0" w:color="1E8BCD"/>
              <w:bottom w:val="single" w:sz="2" w:space="0" w:color="000000"/>
            </w:tcBorders>
          </w:tcPr>
          <w:p>
            <w:pPr>
              <w:pStyle w:val="Normal"/>
              <w:keepNext w:val="true"/>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F1-Score</w:t>
            </w:r>
          </w:p>
        </w:tc>
        <w:tc>
          <w:tcPr>
            <w:tcW w:w="1837" w:type="dxa"/>
            <w:tcBorders>
              <w:top w:val="single" w:sz="4" w:space="0" w:color="1E8BCD"/>
              <w:bottom w:val="single" w:sz="2" w:space="0" w:color="000000"/>
            </w:tcBorders>
          </w:tcPr>
          <w:p>
            <w:pPr>
              <w:pStyle w:val="Normal"/>
              <w:keepNext w:val="true"/>
              <w:widowControl w:val="false"/>
              <w:bidi w:val="0"/>
              <w:spacing w:before="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Support</w:t>
            </w:r>
          </w:p>
        </w:tc>
      </w:tr>
      <w:tr>
        <w:trPr>
          <w:trHeight w:val="300" w:hRule="atLeast"/>
        </w:trPr>
        <w:tc>
          <w:tcPr>
            <w:tcW w:w="2100" w:type="dxa"/>
            <w:tcBorders>
              <w:top w:val="single" w:sz="2" w:space="0" w:color="000000"/>
            </w:tcBorders>
          </w:tcPr>
          <w:p>
            <w:pPr>
              <w:pStyle w:val="Normal"/>
              <w:keepNext w:val="true"/>
              <w:widowControl w:val="false"/>
              <w:bidi w:val="0"/>
              <w:spacing w:before="0" w:after="0"/>
              <w:contextualSpacing/>
              <w:jc w:val="start"/>
              <w:rPr>
                <w:rFonts w:ascii="Arial" w:hAnsi="Arial" w:eastAsia="DejaVu Sans" w:cs="DejaVu Sans"/>
                <w:sz w:val="20"/>
                <w:szCs w:val="20"/>
              </w:rPr>
            </w:pPr>
            <w:r>
              <w:rPr>
                <w:rFonts w:eastAsia="DejaVu Sans" w:cs="DejaVu Sans" w:ascii="Arial" w:hAnsi="Arial"/>
                <w:sz w:val="20"/>
                <w:szCs w:val="20"/>
              </w:rPr>
              <w:t>0.0</w:t>
            </w:r>
          </w:p>
        </w:tc>
        <w:tc>
          <w:tcPr>
            <w:tcW w:w="1827" w:type="dxa"/>
            <w:tcBorders>
              <w:top w:val="single" w:sz="2" w:space="0" w:color="000000"/>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0.99</w:t>
            </w:r>
          </w:p>
        </w:tc>
        <w:tc>
          <w:tcPr>
            <w:tcW w:w="1821" w:type="dxa"/>
            <w:tcBorders>
              <w:top w:val="single" w:sz="2" w:space="0" w:color="000000"/>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0.66</w:t>
            </w:r>
          </w:p>
        </w:tc>
        <w:tc>
          <w:tcPr>
            <w:tcW w:w="1821" w:type="dxa"/>
            <w:tcBorders>
              <w:top w:val="single" w:sz="2" w:space="0" w:color="000000"/>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0.79</w:t>
            </w:r>
          </w:p>
        </w:tc>
        <w:tc>
          <w:tcPr>
            <w:tcW w:w="1837" w:type="dxa"/>
            <w:tcBorders>
              <w:top w:val="single" w:sz="2" w:space="0" w:color="000000"/>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56133</w:t>
            </w:r>
          </w:p>
        </w:tc>
      </w:tr>
      <w:tr>
        <w:trPr>
          <w:trHeight w:val="300" w:hRule="atLeast"/>
        </w:trPr>
        <w:tc>
          <w:tcPr>
            <w:tcW w:w="2100" w:type="dxa"/>
            <w:tcBorders/>
          </w:tcPr>
          <w:p>
            <w:pPr>
              <w:pStyle w:val="Normal"/>
              <w:keepNext w:val="true"/>
              <w:widowControl w:val="false"/>
              <w:bidi w:val="0"/>
              <w:spacing w:before="0" w:after="0"/>
              <w:contextualSpacing/>
              <w:jc w:val="start"/>
              <w:rPr>
                <w:rFonts w:ascii="Arial" w:hAnsi="Arial" w:eastAsia="DejaVu Sans" w:cs="DejaVu Sans"/>
                <w:sz w:val="20"/>
                <w:szCs w:val="20"/>
              </w:rPr>
            </w:pPr>
            <w:r>
              <w:rPr>
                <w:rFonts w:eastAsia="DejaVu Sans" w:cs="DejaVu Sans" w:ascii="Arial" w:hAnsi="Arial"/>
                <w:sz w:val="20"/>
                <w:szCs w:val="20"/>
              </w:rPr>
              <w:t>1.0</w:t>
            </w:r>
          </w:p>
        </w:tc>
        <w:tc>
          <w:tcPr>
            <w:tcW w:w="1827"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0.03</w:t>
            </w:r>
          </w:p>
        </w:tc>
        <w:tc>
          <w:tcPr>
            <w:tcW w:w="1821"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0.73</w:t>
            </w:r>
          </w:p>
        </w:tc>
        <w:tc>
          <w:tcPr>
            <w:tcW w:w="1821"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0.05</w:t>
            </w:r>
          </w:p>
        </w:tc>
        <w:tc>
          <w:tcPr>
            <w:tcW w:w="1837"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707</w:t>
            </w:r>
          </w:p>
        </w:tc>
      </w:tr>
      <w:tr>
        <w:trPr>
          <w:trHeight w:val="300" w:hRule="atLeast"/>
        </w:trPr>
        <w:tc>
          <w:tcPr>
            <w:tcW w:w="2100" w:type="dxa"/>
            <w:tcBorders/>
          </w:tcPr>
          <w:p>
            <w:pPr>
              <w:pStyle w:val="Normal"/>
              <w:keepNext w:val="true"/>
              <w:widowControl w:val="false"/>
              <w:bidi w:val="0"/>
              <w:spacing w:before="0" w:after="0"/>
              <w:contextualSpacing/>
              <w:jc w:val="start"/>
              <w:rPr>
                <w:rFonts w:ascii="Arial" w:hAnsi="Arial" w:eastAsia="DejaVu Sans" w:cs="DejaVu Sans"/>
                <w:sz w:val="20"/>
                <w:szCs w:val="20"/>
              </w:rPr>
            </w:pPr>
            <w:r>
              <w:rPr>
                <w:rFonts w:eastAsia="DejaVu Sans" w:cs="DejaVu Sans" w:ascii="Arial" w:hAnsi="Arial"/>
                <w:sz w:val="20"/>
                <w:szCs w:val="20"/>
              </w:rPr>
              <w:t>Accuracy</w:t>
            </w:r>
          </w:p>
        </w:tc>
        <w:tc>
          <w:tcPr>
            <w:tcW w:w="1827" w:type="dxa"/>
            <w:tcBorders/>
          </w:tcPr>
          <w:p>
            <w:pPr>
              <w:pStyle w:val="Normal"/>
              <w:keepNext w:val="true"/>
              <w:widowControl w:val="false"/>
              <w:bidi w:val="0"/>
              <w:spacing w:before="0" w:after="0"/>
              <w:contextualSpacing/>
              <w:jc w:val="end"/>
              <w:rPr>
                <w:rFonts w:ascii="Arial" w:hAnsi="Arial" w:eastAsia="DejaVu Sans" w:cs="DejaVu Sans"/>
              </w:rPr>
            </w:pPr>
            <w:r>
              <w:rPr>
                <w:rFonts w:eastAsia="DejaVu Sans" w:cs="DejaVu Sans" w:ascii="Arial" w:hAnsi="Arial"/>
              </w:rPr>
            </w:r>
          </w:p>
        </w:tc>
        <w:tc>
          <w:tcPr>
            <w:tcW w:w="1821" w:type="dxa"/>
            <w:tcBorders/>
          </w:tcPr>
          <w:p>
            <w:pPr>
              <w:pStyle w:val="Normal"/>
              <w:keepNext w:val="true"/>
              <w:widowControl w:val="false"/>
              <w:bidi w:val="0"/>
              <w:spacing w:before="0" w:after="0"/>
              <w:contextualSpacing/>
              <w:jc w:val="end"/>
              <w:rPr>
                <w:rFonts w:ascii="Arial" w:hAnsi="Arial" w:eastAsia="DejaVu Sans" w:cs="DejaVu Sans"/>
              </w:rPr>
            </w:pPr>
            <w:r>
              <w:rPr>
                <w:rFonts w:eastAsia="DejaVu Sans" w:cs="DejaVu Sans" w:ascii="Arial" w:hAnsi="Arial"/>
              </w:rPr>
            </w:r>
          </w:p>
        </w:tc>
        <w:tc>
          <w:tcPr>
            <w:tcW w:w="1821"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0.66</w:t>
            </w:r>
          </w:p>
        </w:tc>
        <w:tc>
          <w:tcPr>
            <w:tcW w:w="1837"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56840</w:t>
            </w:r>
          </w:p>
        </w:tc>
      </w:tr>
      <w:tr>
        <w:trPr>
          <w:trHeight w:val="300" w:hRule="atLeast"/>
        </w:trPr>
        <w:tc>
          <w:tcPr>
            <w:tcW w:w="2100" w:type="dxa"/>
            <w:tcBorders/>
          </w:tcPr>
          <w:p>
            <w:pPr>
              <w:pStyle w:val="Normal"/>
              <w:keepNext w:val="true"/>
              <w:widowControl w:val="false"/>
              <w:bidi w:val="0"/>
              <w:spacing w:before="0" w:after="0"/>
              <w:contextualSpacing/>
              <w:jc w:val="start"/>
              <w:rPr>
                <w:rFonts w:ascii="Arial" w:hAnsi="Arial" w:eastAsia="DejaVu Sans" w:cs="DejaVu Sans"/>
                <w:sz w:val="20"/>
                <w:szCs w:val="20"/>
              </w:rPr>
            </w:pPr>
            <w:r>
              <w:rPr>
                <w:rFonts w:eastAsia="DejaVu Sans" w:cs="DejaVu Sans" w:ascii="Arial" w:hAnsi="Arial"/>
                <w:sz w:val="20"/>
                <w:szCs w:val="20"/>
              </w:rPr>
              <w:t>Macro avg</w:t>
            </w:r>
          </w:p>
        </w:tc>
        <w:tc>
          <w:tcPr>
            <w:tcW w:w="1827"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0.51</w:t>
            </w:r>
          </w:p>
        </w:tc>
        <w:tc>
          <w:tcPr>
            <w:tcW w:w="1821"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0.69</w:t>
            </w:r>
          </w:p>
        </w:tc>
        <w:tc>
          <w:tcPr>
            <w:tcW w:w="1821"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0.42</w:t>
            </w:r>
          </w:p>
        </w:tc>
        <w:tc>
          <w:tcPr>
            <w:tcW w:w="1837" w:type="dxa"/>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56840</w:t>
            </w:r>
          </w:p>
        </w:tc>
      </w:tr>
      <w:tr>
        <w:trPr>
          <w:trHeight w:val="300" w:hRule="atLeast"/>
        </w:trPr>
        <w:tc>
          <w:tcPr>
            <w:tcW w:w="2100" w:type="dxa"/>
            <w:tcBorders>
              <w:bottom w:val="single" w:sz="4" w:space="0" w:color="000000"/>
            </w:tcBorders>
          </w:tcPr>
          <w:p>
            <w:pPr>
              <w:pStyle w:val="Normal"/>
              <w:keepNext w:val="true"/>
              <w:widowControl w:val="false"/>
              <w:bidi w:val="0"/>
              <w:spacing w:before="0" w:after="0"/>
              <w:contextualSpacing/>
              <w:jc w:val="start"/>
              <w:rPr>
                <w:rFonts w:ascii="Arial" w:hAnsi="Arial" w:eastAsia="DejaVu Sans" w:cs="DejaVu Sans"/>
                <w:sz w:val="20"/>
                <w:szCs w:val="20"/>
              </w:rPr>
            </w:pPr>
            <w:r>
              <w:rPr>
                <w:rFonts w:eastAsia="DejaVu Sans" w:cs="DejaVu Sans" w:ascii="Arial" w:hAnsi="Arial"/>
                <w:sz w:val="20"/>
                <w:szCs w:val="20"/>
              </w:rPr>
              <w:t>Weighted avg</w:t>
            </w:r>
          </w:p>
        </w:tc>
        <w:tc>
          <w:tcPr>
            <w:tcW w:w="1827" w:type="dxa"/>
            <w:tcBorders>
              <w:bottom w:val="single" w:sz="4" w:space="0" w:color="000000"/>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0.98</w:t>
            </w:r>
          </w:p>
        </w:tc>
        <w:tc>
          <w:tcPr>
            <w:tcW w:w="1821" w:type="dxa"/>
            <w:tcBorders>
              <w:bottom w:val="single" w:sz="4" w:space="0" w:color="000000"/>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0.66</w:t>
            </w:r>
          </w:p>
        </w:tc>
        <w:tc>
          <w:tcPr>
            <w:tcW w:w="1821" w:type="dxa"/>
            <w:tcBorders>
              <w:bottom w:val="single" w:sz="4" w:space="0" w:color="000000"/>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0.78</w:t>
            </w:r>
          </w:p>
        </w:tc>
        <w:tc>
          <w:tcPr>
            <w:tcW w:w="1837" w:type="dxa"/>
            <w:tcBorders>
              <w:bottom w:val="single" w:sz="4" w:space="0" w:color="000000"/>
            </w:tcBorders>
          </w:tcPr>
          <w:p>
            <w:pPr>
              <w:pStyle w:val="Normal"/>
              <w:keepNext w:val="true"/>
              <w:widowControl w:val="false"/>
              <w:bidi w:val="0"/>
              <w:spacing w:before="0" w:after="0"/>
              <w:contextualSpacing/>
              <w:jc w:val="end"/>
              <w:rPr>
                <w:rFonts w:ascii="Arial" w:hAnsi="Arial" w:eastAsia="DejaVu Sans" w:cs="DejaVu Sans"/>
                <w:sz w:val="20"/>
                <w:szCs w:val="20"/>
              </w:rPr>
            </w:pPr>
            <w:r>
              <w:rPr>
                <w:rFonts w:eastAsia="DejaVu Sans" w:cs="DejaVu Sans" w:ascii="Arial" w:hAnsi="Arial"/>
                <w:sz w:val="20"/>
                <w:szCs w:val="20"/>
              </w:rPr>
              <w:t>56840</w:t>
            </w:r>
          </w:p>
        </w:tc>
      </w:tr>
      <w:tr>
        <w:trPr>
          <w:trHeight w:val="300" w:hRule="atLeast"/>
        </w:trPr>
        <w:tc>
          <w:tcPr>
            <w:tcW w:w="9406" w:type="dxa"/>
            <w:gridSpan w:val="5"/>
            <w:tcBorders/>
          </w:tcPr>
          <w:p>
            <w:pPr>
              <w:pStyle w:val="Normal"/>
              <w:keepNext w:val="true"/>
              <w:widowControl w:val="false"/>
              <w:bidi w:val="0"/>
              <w:spacing w:before="0" w:after="0"/>
              <w:contextualSpacing/>
              <w:jc w:val="end"/>
              <w:rPr>
                <w:rFonts w:cs="Times New Roman"/>
                <w:sz w:val="20"/>
                <w:szCs w:val="20"/>
              </w:rPr>
            </w:pPr>
            <w:r>
              <w:rPr>
                <w:rFonts w:cs="Times New Roman"/>
                <w:sz w:val="20"/>
                <w:szCs w:val="20"/>
              </w:rPr>
              <w:t>F1 Score: 0.05; AUC: 0.69</w:t>
            </w:r>
          </w:p>
        </w:tc>
      </w:tr>
    </w:tbl>
    <w:p>
      <w:pPr>
        <w:pStyle w:val="Heading1"/>
        <w:numPr>
          <w:ilvl w:val="0"/>
          <w:numId w:val="0"/>
        </w:numPr>
        <w:spacing w:before="0" w:after="120"/>
        <w:ind w:hanging="0" w:start="0"/>
        <w:rPr>
          <w:rFonts w:eastAsia="Arial"/>
          <w:sz w:val="26"/>
          <w:szCs w:val="26"/>
          <w:lang w:val="en-US"/>
        </w:rPr>
      </w:pPr>
      <w:r>
        <w:rPr>
          <w:rFonts w:eastAsia="Arial"/>
          <w:sz w:val="26"/>
          <w:szCs w:val="26"/>
          <w:lang w:val="en-US"/>
        </w:rPr>
        <w:t>Supplementary Tables 4–5: most common diagnoses &amp; procedures</w:t>
      </w:r>
    </w:p>
    <w:p>
      <w:pPr>
        <w:pStyle w:val="Basictext"/>
        <w:spacing w:lineRule="auto" w:line="480"/>
        <w:rPr>
          <w:sz w:val="20"/>
          <w:szCs w:val="20"/>
          <w:lang w:val="en-US"/>
        </w:rPr>
      </w:pPr>
      <w:r>
        <w:rPr>
          <w:sz w:val="20"/>
          <w:szCs w:val="20"/>
          <w:lang w:val="en-US"/>
        </w:rPr>
        <w:t>The most common procedures for fallen and non-fallen patients are shown in Supplementary Table 4, and the most common diagnoses are shown in Supplementary Table 5.</w:t>
      </w:r>
    </w:p>
    <w:p>
      <w:pPr>
        <w:pStyle w:val="Normal"/>
        <w:widowControl w:val="false"/>
        <w:bidi w:val="0"/>
        <w:spacing w:before="0" w:after="0"/>
        <w:ind w:hanging="284" w:start="284"/>
        <w:jc w:val="start"/>
        <w:rPr>
          <w:sz w:val="20"/>
          <w:szCs w:val="20"/>
        </w:rPr>
      </w:pPr>
      <w:r>
        <w:rPr>
          <w:b/>
          <w:bCs/>
          <w:sz w:val="20"/>
          <w:szCs w:val="20"/>
        </w:rPr>
        <w:t>Supplementary Table 4</w:t>
      </w:r>
      <w:r>
        <w:rPr>
          <w:sz w:val="20"/>
          <w:szCs w:val="20"/>
        </w:rPr>
        <w:t xml:space="preserve"> Most common procedures for fallen and non-fallen patients</w:t>
      </w:r>
    </w:p>
    <w:tbl>
      <w:tblPr>
        <w:tblW w:w="9120" w:type="dxa"/>
        <w:jc w:val="start"/>
        <w:tblInd w:w="171" w:type="dxa"/>
        <w:tblLayout w:type="fixed"/>
        <w:tblCellMar>
          <w:top w:w="0" w:type="dxa"/>
          <w:start w:w="108" w:type="dxa"/>
          <w:bottom w:w="0" w:type="dxa"/>
          <w:end w:w="108" w:type="dxa"/>
        </w:tblCellMar>
      </w:tblPr>
      <w:tblGrid>
        <w:gridCol w:w="2922"/>
        <w:gridCol w:w="1638"/>
        <w:gridCol w:w="2818"/>
        <w:gridCol w:w="1742"/>
      </w:tblGrid>
      <w:tr>
        <w:trPr>
          <w:trHeight w:val="300" w:hRule="atLeast"/>
        </w:trPr>
        <w:tc>
          <w:tcPr>
            <w:tcW w:w="45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Fallen Patients</w:t>
            </w:r>
          </w:p>
        </w:tc>
        <w:tc>
          <w:tcPr>
            <w:tcW w:w="45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Non-fallen Patients</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b/>
                <w:bCs/>
                <w:sz w:val="20"/>
                <w:szCs w:val="20"/>
              </w:rPr>
            </w:pPr>
            <w:r>
              <w:rPr>
                <w:rFonts w:eastAsia="DejaVu Sans" w:cs="DejaVu Sans" w:ascii="Arial" w:hAnsi="Arial"/>
                <w:b/>
                <w:bCs/>
                <w:sz w:val="20"/>
                <w:szCs w:val="20"/>
              </w:rPr>
              <w:t>Procedure group</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b/>
                <w:bCs/>
                <w:sz w:val="20"/>
                <w:szCs w:val="20"/>
              </w:rPr>
            </w:pPr>
            <w:r>
              <w:rPr>
                <w:rFonts w:eastAsia="DejaVu Sans" w:cs="DejaVu Sans" w:ascii="Arial" w:hAnsi="Arial"/>
                <w:b/>
                <w:bCs/>
                <w:sz w:val="20"/>
                <w:szCs w:val="20"/>
              </w:rPr>
              <w:t>Quan. (%)</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b/>
                <w:bCs/>
                <w:sz w:val="20"/>
                <w:szCs w:val="20"/>
              </w:rPr>
            </w:pPr>
            <w:r>
              <w:rPr>
                <w:rFonts w:eastAsia="DejaVu Sans" w:cs="DejaVu Sans" w:ascii="Arial" w:hAnsi="Arial"/>
                <w:b/>
                <w:bCs/>
                <w:sz w:val="20"/>
                <w:szCs w:val="20"/>
              </w:rPr>
              <w:t>Procedure group</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b/>
                <w:bCs/>
                <w:sz w:val="20"/>
                <w:szCs w:val="20"/>
              </w:rPr>
            </w:pPr>
            <w:r>
              <w:rPr>
                <w:rFonts w:eastAsia="DejaVu Sans" w:cs="DejaVu Sans" w:ascii="Arial" w:hAnsi="Arial"/>
                <w:b/>
                <w:bCs/>
                <w:sz w:val="20"/>
                <w:szCs w:val="20"/>
              </w:rPr>
              <w:t>Quan. (%)</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Computer Tomography CT</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17,326 (16.33)</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Computer Tomography CT</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607,914 (15.07)</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Circulatory Measures</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13,227 (12.47)</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Circulatory Measures</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413,399 (10.25)</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Radiotherapy, nuclear medical therapy, and chemotherapy</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6,260 (5.90)</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Radiotherapy, nuclear medical therapy, and chemotherapy</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260,039 (6.45)</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Patient monitoring</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5,610 (5.29)</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Examination of individual body systems</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222,475 (5.51)</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Treatment for mental and psychosomatic, and behavioral disorders in adults</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5,170 (4.87)</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Surgeries on the locomotor organs</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188,950 (4.68)</w:t>
            </w:r>
          </w:p>
        </w:tc>
      </w:tr>
    </w:tbl>
    <w:p>
      <w:pPr>
        <w:pStyle w:val="Normal"/>
        <w:widowControl w:val="false"/>
        <w:bidi w:val="0"/>
        <w:spacing w:before="0" w:after="0"/>
        <w:ind w:hanging="284" w:start="284"/>
        <w:jc w:val="start"/>
        <w:rPr/>
      </w:pPr>
      <w:r>
        <w:rPr/>
      </w:r>
    </w:p>
    <w:p>
      <w:pPr>
        <w:pStyle w:val="Normal"/>
        <w:widowControl w:val="false"/>
        <w:bidi w:val="0"/>
        <w:spacing w:before="0" w:after="0"/>
        <w:ind w:hanging="284" w:start="284"/>
        <w:jc w:val="start"/>
        <w:rPr>
          <w:sz w:val="20"/>
          <w:szCs w:val="20"/>
        </w:rPr>
      </w:pPr>
      <w:r>
        <w:rPr>
          <w:b/>
          <w:bCs/>
          <w:sz w:val="20"/>
          <w:szCs w:val="20"/>
        </w:rPr>
        <w:t>Supplementary Table 5</w:t>
      </w:r>
      <w:r>
        <w:rPr>
          <w:sz w:val="20"/>
          <w:szCs w:val="20"/>
        </w:rPr>
        <w:t xml:space="preserve"> Most common diagnoses for fallen and non-fallen patients</w:t>
      </w:r>
    </w:p>
    <w:tbl>
      <w:tblPr>
        <w:tblW w:w="9120" w:type="dxa"/>
        <w:jc w:val="start"/>
        <w:tblInd w:w="171" w:type="dxa"/>
        <w:tblLayout w:type="fixed"/>
        <w:tblCellMar>
          <w:top w:w="0" w:type="dxa"/>
          <w:start w:w="108" w:type="dxa"/>
          <w:bottom w:w="0" w:type="dxa"/>
          <w:end w:w="108" w:type="dxa"/>
        </w:tblCellMar>
      </w:tblPr>
      <w:tblGrid>
        <w:gridCol w:w="2922"/>
        <w:gridCol w:w="1638"/>
        <w:gridCol w:w="2818"/>
        <w:gridCol w:w="1742"/>
      </w:tblGrid>
      <w:tr>
        <w:trPr>
          <w:trHeight w:val="300" w:hRule="atLeast"/>
        </w:trPr>
        <w:tc>
          <w:tcPr>
            <w:tcW w:w="45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Fallen Patients</w:t>
            </w:r>
          </w:p>
        </w:tc>
        <w:tc>
          <w:tcPr>
            <w:tcW w:w="45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center"/>
              <w:rPr>
                <w:rFonts w:ascii="Arial" w:hAnsi="Arial" w:eastAsia="DejaVu Sans" w:cs="DejaVu Sans"/>
                <w:b/>
                <w:bCs/>
                <w:i/>
                <w:iCs/>
                <w:sz w:val="20"/>
                <w:szCs w:val="20"/>
              </w:rPr>
            </w:pPr>
            <w:r>
              <w:rPr>
                <w:rFonts w:eastAsia="DejaVu Sans" w:cs="DejaVu Sans" w:ascii="Arial" w:hAnsi="Arial"/>
                <w:b/>
                <w:bCs/>
                <w:i/>
                <w:iCs/>
                <w:sz w:val="20"/>
                <w:szCs w:val="20"/>
              </w:rPr>
              <w:t>Non-fallen Patients</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b/>
                <w:bCs/>
                <w:sz w:val="20"/>
                <w:szCs w:val="20"/>
              </w:rPr>
            </w:pPr>
            <w:r>
              <w:rPr>
                <w:rFonts w:eastAsia="DejaVu Sans" w:cs="DejaVu Sans" w:ascii="Arial" w:hAnsi="Arial"/>
                <w:b/>
                <w:bCs/>
                <w:sz w:val="20"/>
                <w:szCs w:val="20"/>
              </w:rPr>
              <w:t>Diagnosis group</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b/>
                <w:bCs/>
                <w:sz w:val="20"/>
                <w:szCs w:val="20"/>
              </w:rPr>
            </w:pPr>
            <w:r>
              <w:rPr>
                <w:rFonts w:eastAsia="DejaVu Sans" w:cs="DejaVu Sans" w:ascii="Arial" w:hAnsi="Arial"/>
                <w:b/>
                <w:bCs/>
                <w:sz w:val="20"/>
                <w:szCs w:val="20"/>
              </w:rPr>
              <w:t>Quan. (%)</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b/>
                <w:bCs/>
                <w:sz w:val="20"/>
                <w:szCs w:val="20"/>
              </w:rPr>
            </w:pPr>
            <w:r>
              <w:rPr>
                <w:rFonts w:eastAsia="DejaVu Sans" w:cs="DejaVu Sans" w:ascii="Arial" w:hAnsi="Arial"/>
                <w:b/>
                <w:bCs/>
                <w:sz w:val="20"/>
                <w:szCs w:val="20"/>
              </w:rPr>
              <w:t>Diagnosis group</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b/>
                <w:bCs/>
                <w:sz w:val="20"/>
                <w:szCs w:val="20"/>
              </w:rPr>
            </w:pPr>
            <w:r>
              <w:rPr>
                <w:rFonts w:eastAsia="DejaVu Sans" w:cs="DejaVu Sans" w:ascii="Arial" w:hAnsi="Arial"/>
                <w:b/>
                <w:bCs/>
                <w:sz w:val="20"/>
                <w:szCs w:val="20"/>
              </w:rPr>
              <w:t>Quan. (%)</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Forms of heart disease</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5,339 (5.35)</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Potential health risks based on family/personal history</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413,035 (5.36)</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Metabolic disorders</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5295 (5.31)</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Forms of heart disease</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338,275 (4.39)</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Potential health risks based on family/personal history</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4,197 (4.21)</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Metabolic disorders</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321,760 (4.17)</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Hypertension</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3,184 (3.19)</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Hypertension</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258,783 (3.36)</w:t>
            </w:r>
          </w:p>
        </w:tc>
      </w:tr>
      <w:tr>
        <w:trPr>
          <w:trHeight w:val="300" w:hRule="atLeast"/>
        </w:trPr>
        <w:tc>
          <w:tcPr>
            <w:tcW w:w="292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Diseases of the muscles</w:t>
            </w:r>
          </w:p>
        </w:tc>
        <w:tc>
          <w:tcPr>
            <w:tcW w:w="163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2,812 (2.82)</w:t>
            </w:r>
          </w:p>
        </w:tc>
        <w:tc>
          <w:tcPr>
            <w:tcW w:w="2818"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Persons using the health care system for the purpose of specific measures and medical care</w:t>
            </w:r>
          </w:p>
        </w:tc>
        <w:tc>
          <w:tcPr>
            <w:tcW w:w="174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before="120" w:after="0"/>
              <w:contextualSpacing/>
              <w:jc w:val="start"/>
              <w:rPr>
                <w:rFonts w:ascii="Arial" w:hAnsi="Arial" w:eastAsia="DejaVu Sans" w:cs="DejaVu Sans"/>
                <w:sz w:val="20"/>
                <w:szCs w:val="20"/>
              </w:rPr>
            </w:pPr>
            <w:r>
              <w:rPr>
                <w:rFonts w:eastAsia="DejaVu Sans" w:cs="DejaVu Sans" w:ascii="Arial" w:hAnsi="Arial"/>
                <w:sz w:val="20"/>
                <w:szCs w:val="20"/>
              </w:rPr>
              <w:t>171,177 (2.22)</w:t>
            </w:r>
          </w:p>
        </w:tc>
      </w:tr>
    </w:tbl>
    <w:p>
      <w:pPr>
        <w:pStyle w:val="Normal"/>
        <w:widowControl w:val="false"/>
        <w:bidi w:val="0"/>
        <w:spacing w:before="0" w:after="0"/>
        <w:ind w:hanging="284" w:start="284"/>
        <w:jc w:val="start"/>
        <w:rPr/>
      </w:pPr>
      <w:r>
        <w:rPr/>
      </w:r>
    </w:p>
    <w:p>
      <w:pPr>
        <w:pStyle w:val="Heading2"/>
        <w:numPr>
          <w:ilvl w:val="0"/>
          <w:numId w:val="0"/>
        </w:numPr>
        <w:spacing w:before="0" w:after="120"/>
        <w:ind w:hanging="851" w:start="851"/>
        <w:rPr>
          <w:sz w:val="26"/>
          <w:szCs w:val="26"/>
          <w:lang w:val="en-US"/>
        </w:rPr>
      </w:pPr>
      <w:r>
        <w:rPr>
          <w:sz w:val="26"/>
          <w:szCs w:val="26"/>
          <w:lang w:val="en-US"/>
        </w:rPr>
      </w:r>
    </w:p>
    <w:p>
      <w:pPr>
        <w:pStyle w:val="Heading2"/>
        <w:numPr>
          <w:ilvl w:val="0"/>
          <w:numId w:val="0"/>
        </w:numPr>
        <w:spacing w:before="0" w:after="120"/>
        <w:ind w:hanging="851" w:start="851"/>
        <w:rPr>
          <w:sz w:val="26"/>
          <w:szCs w:val="26"/>
          <w:lang w:val="en-US"/>
        </w:rPr>
      </w:pPr>
      <w:r>
        <w:rPr>
          <w:sz w:val="26"/>
          <w:szCs w:val="26"/>
          <w:lang w:val="en-US"/>
        </w:rPr>
      </w:r>
      <w:r>
        <w:br w:type="page"/>
      </w:r>
    </w:p>
    <w:p>
      <w:pPr>
        <w:pStyle w:val="Heading2"/>
        <w:numPr>
          <w:ilvl w:val="0"/>
          <w:numId w:val="0"/>
        </w:numPr>
        <w:spacing w:before="0" w:after="120"/>
        <w:ind w:hanging="851" w:start="851"/>
        <w:rPr>
          <w:sz w:val="26"/>
          <w:szCs w:val="26"/>
          <w:lang w:val="en-US"/>
        </w:rPr>
      </w:pPr>
      <w:r>
        <w:rPr>
          <w:rFonts w:eastAsia="Arial"/>
          <w:sz w:val="26"/>
          <w:szCs w:val="26"/>
          <w:lang w:val="en-US"/>
        </w:rPr>
        <w:t>Supplementary Fig. 1: Global risk factors and SHAP explanations</w:t>
      </w:r>
    </w:p>
    <w:p>
      <w:pPr>
        <w:pStyle w:val="Basictext"/>
        <w:spacing w:lineRule="auto" w:line="480" w:before="240" w:after="60"/>
        <w:rPr>
          <w:color w:val="auto"/>
          <w:sz w:val="20"/>
          <w:szCs w:val="20"/>
          <w:lang w:val="en-US"/>
        </w:rPr>
      </w:pPr>
      <w:r>
        <w:rPr>
          <w:color w:val="auto"/>
          <w:sz w:val="20"/>
          <w:szCs w:val="20"/>
          <w:lang w:val="en-US"/>
        </w:rPr>
        <w:t>For the L3 model chosen, we examined the aggregated local feature importances using SHAP. Fig. D1 is a SHAP summary plot for the top features contributing to fall risk. Each point in Fig. D1 represents a patient; points are plotted horizontally by SHAP value, i.e., the impact on model output, and are colored by the feature value (e.g., for age: red = older, blue = younger). Fall history (number of falls in the 12 months before admission) emerged as the single most influential predictor. Some nursing features and procedural codes were particularly notable. E.g., early rehabilitative and physical therapy procedures (OPS 8-55) showed that patients in rehabilitation therapy often had higher fall risk. This likely reflects confounding by procedure—these patients are in rehabilitation because of mobility impairments, which also put them at risk of falling.</w:t>
      </w:r>
    </w:p>
    <w:p>
      <w:pPr>
        <w:pStyle w:val="Basictext"/>
        <w:spacing w:lineRule="auto" w:line="480" w:before="240" w:after="60"/>
        <w:rPr>
          <w:sz w:val="20"/>
          <w:szCs w:val="20"/>
          <w:lang w:val="en-US"/>
        </w:rPr>
      </w:pPr>
      <w:r>
        <w:rPr>
          <w:color w:val="auto"/>
          <w:sz w:val="20"/>
          <w:szCs w:val="20"/>
          <w:lang w:val="en-US"/>
        </w:rPr>
        <w:t>High-risk medications and comorbidities also appeared. For instance, the model included features for psychotropic medication use, captured indirectly via procedure code “application of medications” (OPS 6-00) and diagnoses like depression or dementia. Male sex had a small positive SHAP on average, consistent with the slight male excess in fallers, though sex was far less important than age or medical factors. Hypertension (ICD I10-I15) and metabolic disorders (ICD E70-E90) had nuanced effects—they were common in both fallers and non-fallers, so on average they weren’t among the very top predictors, but in combination with other factors they sometimes elevated risk, for example, a patient with hypertension plus balance issues might be at risk due to orthostatic hypotension from antihypertensive medication. Overall, the SHAP summary indicates that our model’s predictions are driven by a mix of direct fall risk indicators, such as prior falls, age, mobility impairments, and indirect proxies of vulnerability, such as complex treatment courses and need for monitoring.</w:t>
      </w:r>
    </w:p>
    <w:p>
      <w:pPr>
        <w:pStyle w:val="Basictext"/>
        <w:jc w:val="start"/>
        <w:rPr>
          <w:sz w:val="20"/>
          <w:szCs w:val="20"/>
          <w:lang w:val="en-US"/>
        </w:rPr>
      </w:pPr>
      <w:r>
        <w:drawing>
          <wp:anchor distT="0" distB="0" distL="0" distR="0" simplePos="0" relativeHeight="3" behindDoc="0" locked="0" layoutInCell="0" allowOverlap="1">
            <wp:simplePos x="0" y="0"/>
            <wp:positionH relativeFrom="column">
              <wp:align>center</wp:align>
            </wp:positionH>
            <wp:positionV relativeFrom="paragraph">
              <wp:posOffset>-122555</wp:posOffset>
            </wp:positionV>
            <wp:extent cx="4844415" cy="3524250"/>
            <wp:effectExtent l="0" t="0" r="0" b="0"/>
            <wp:wrapTopAndBottom/>
            <wp:docPr id="1" name="Image4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Copy 1"/>
                    <pic:cNvPicPr>
                      <a:picLocks noChangeAspect="1" noChangeArrowheads="1"/>
                    </pic:cNvPicPr>
                  </pic:nvPicPr>
                  <pic:blipFill>
                    <a:blip r:embed="rId2"/>
                    <a:stretch>
                      <a:fillRect/>
                    </a:stretch>
                  </pic:blipFill>
                  <pic:spPr bwMode="auto">
                    <a:xfrm>
                      <a:off x="0" y="0"/>
                      <a:ext cx="4844415" cy="3524250"/>
                    </a:xfrm>
                    <a:prstGeom prst="rect">
                      <a:avLst/>
                    </a:prstGeom>
                    <a:noFill/>
                  </pic:spPr>
                </pic:pic>
              </a:graphicData>
            </a:graphic>
          </wp:anchor>
        </w:drawing>
      </w:r>
      <w:r>
        <w:rPr>
          <w:b/>
          <w:bCs/>
          <w:color w:val="auto"/>
          <w:sz w:val="20"/>
          <w:szCs w:val="20"/>
        </w:rPr>
        <w:t>Supplementary Fig. 1</w:t>
      </w:r>
      <w:r>
        <w:rPr>
          <w:color w:val="auto"/>
          <w:sz w:val="20"/>
          <w:szCs w:val="20"/>
        </w:rPr>
        <w:t xml:space="preserve"> SHAP summary plot of top 20 features for fall risk prediction. The features are ranked by mean absolute SHAP value, i.e. the largest average magnitude of contribution to the model output, regardless of direction. Points to the right indicate that the feature increases fall risk, to the left decreases risk. Color indicates the feature value, i.e., red for high, blue for low. For continuous features like age, red means older age. For categorical features (procedures, diagnoses), red indicates presence of that code, blue indicates absence.</w:t>
      </w:r>
      <w:r>
        <w:br w:type="page"/>
      </w:r>
    </w:p>
    <w:p>
      <w:pPr>
        <w:pStyle w:val="Heading2"/>
        <w:numPr>
          <w:ilvl w:val="0"/>
          <w:numId w:val="0"/>
        </w:numPr>
        <w:spacing w:before="0" w:after="120"/>
        <w:ind w:hanging="851" w:start="851"/>
        <w:rPr>
          <w:sz w:val="26"/>
          <w:szCs w:val="26"/>
          <w:lang w:val="en-US"/>
        </w:rPr>
      </w:pPr>
      <w:r>
        <w:rPr>
          <w:rFonts w:eastAsia="Arial"/>
          <w:sz w:val="26"/>
          <w:szCs w:val="26"/>
          <w:lang w:val="en-US"/>
        </w:rPr>
        <w:t>Supplementary Note: detailed cluster description</w:t>
      </w:r>
    </w:p>
    <w:p>
      <w:pPr>
        <w:pStyle w:val="Basictext"/>
        <w:spacing w:lineRule="auto" w:line="480"/>
        <w:rPr>
          <w:sz w:val="20"/>
          <w:szCs w:val="20"/>
          <w:lang w:val="en-US"/>
        </w:rPr>
      </w:pPr>
      <w:r>
        <w:rPr>
          <w:b/>
          <w:bCs/>
          <w:color w:val="auto"/>
          <w:sz w:val="20"/>
          <w:szCs w:val="20"/>
          <w:lang w:val="en-US"/>
        </w:rPr>
        <w:t>Cluster 1: “Miscellaneous High Care Needs”</w:t>
      </w:r>
      <w:r>
        <w:rPr>
          <w:color w:val="auto"/>
          <w:sz w:val="20"/>
          <w:szCs w:val="20"/>
          <w:lang w:val="en-US"/>
        </w:rPr>
        <w:t>—Cluster 1 was the largest cluster (23% of cases) and appears to represent a general high-dependency group without a single defining specialty. This cluster seems to be patients who are generally of high acuity or dependency (perhaps needing help with basic care) but not fitting one of the more specific profiles.</w:t>
      </w:r>
    </w:p>
    <w:p>
      <w:pPr>
        <w:pStyle w:val="Basictext"/>
        <w:spacing w:lineRule="auto" w:line="480"/>
        <w:rPr>
          <w:sz w:val="20"/>
          <w:szCs w:val="20"/>
          <w:lang w:val="en-US"/>
        </w:rPr>
      </w:pPr>
      <w:r>
        <w:rPr>
          <w:b/>
          <w:bCs/>
          <w:color w:val="auto"/>
          <w:sz w:val="20"/>
          <w:szCs w:val="20"/>
          <w:lang w:val="en-US"/>
        </w:rPr>
        <w:t>Cluster 2: “Complex Care—Younger, Multi-system”</w:t>
      </w:r>
      <w:r>
        <w:rPr>
          <w:color w:val="auto"/>
          <w:sz w:val="20"/>
          <w:szCs w:val="20"/>
          <w:lang w:val="en-US"/>
        </w:rPr>
        <w:t xml:space="preserve">—Cluster 2 patients required high levels of care despite being relatively younger with a mean of 61.2 years, a younger cluster. They had frequent recent falls, complex care needs, and often had circulatory system procedures, and frequent CT imaging. This paints a picture of patients with serious illnesses, such as trauma or severe chronic diseases that necessitate intensive interventions. </w:t>
      </w:r>
    </w:p>
    <w:p>
      <w:pPr>
        <w:pStyle w:val="Basictext"/>
        <w:spacing w:lineRule="auto" w:line="480"/>
        <w:rPr>
          <w:sz w:val="20"/>
          <w:szCs w:val="20"/>
          <w:lang w:val="en-US"/>
        </w:rPr>
      </w:pPr>
      <w:r>
        <w:rPr>
          <w:b/>
          <w:bCs/>
          <w:color w:val="auto"/>
          <w:sz w:val="20"/>
          <w:szCs w:val="20"/>
          <w:lang w:val="en-US"/>
        </w:rPr>
        <w:t>Cluster 3: “Behavioral Abnormality”—</w:t>
      </w:r>
      <w:r>
        <w:rPr>
          <w:color w:val="auto"/>
          <w:sz w:val="20"/>
          <w:szCs w:val="20"/>
          <w:lang w:val="en-US"/>
        </w:rPr>
        <w:t>This was a relatively small cluster of patients with mental health and psychosomatic disorders as dominant features. They tended to be younger (average ~64 years) and more often female (only 31% male). These patients often had psychiatric conditions or delirium contributing to falls.</w:t>
      </w:r>
    </w:p>
    <w:p>
      <w:pPr>
        <w:pStyle w:val="Basictext"/>
        <w:spacing w:lineRule="auto" w:line="480"/>
        <w:rPr>
          <w:sz w:val="20"/>
          <w:szCs w:val="20"/>
          <w:lang w:val="en-US"/>
        </w:rPr>
      </w:pPr>
      <w:r>
        <w:rPr>
          <w:b/>
          <w:bCs/>
          <w:color w:val="auto"/>
          <w:sz w:val="20"/>
          <w:szCs w:val="20"/>
          <w:lang w:val="en-US"/>
        </w:rPr>
        <w:t>Cluster 4: “Frail &amp; Rehabilitation-Focused”</w:t>
      </w:r>
      <w:r>
        <w:rPr>
          <w:color w:val="auto"/>
          <w:sz w:val="20"/>
          <w:szCs w:val="20"/>
          <w:lang w:val="en-US"/>
        </w:rPr>
        <w:t>—Patients in Cluster 4 were generally very elderly and frail. This cluster had the highest average age (87.3 years). Key features included a history of multiple falls (high SHAP for “falls in last 12 months”), early rehabilitation and physical therapy orders, and mobility impairments (difficulty walking/transferring). In essence, Cluster 4 represents geriatric patients with severe mobility limitation and general frailty.</w:t>
      </w:r>
    </w:p>
    <w:p>
      <w:pPr>
        <w:pStyle w:val="Basictext"/>
        <w:spacing w:lineRule="auto" w:line="480"/>
        <w:rPr>
          <w:sz w:val="20"/>
          <w:szCs w:val="20"/>
          <w:lang w:val="en-US"/>
        </w:rPr>
      </w:pPr>
      <w:r>
        <w:rPr>
          <w:b/>
          <w:bCs/>
          <w:color w:val="auto"/>
          <w:sz w:val="20"/>
          <w:szCs w:val="20"/>
          <w:lang w:val="en-US"/>
        </w:rPr>
        <w:t>Cluster 5: “Complex Treatments”</w:t>
      </w:r>
      <w:r>
        <w:rPr>
          <w:color w:val="auto"/>
          <w:sz w:val="20"/>
          <w:szCs w:val="20"/>
          <w:lang w:val="en-US"/>
        </w:rPr>
        <w:t>—Cluster 5 patients were those undergoing highly complex medical/surgical treatments, often in intensive or step-down care. Their average age was ~77.8 years, and 57% were male. They frequently had multiple recent procedures; the standout feature was OPS 8-97/8-98 “complex treatment,” which is ICU care or complex surgery. They also had elevated fall risk from a recent fall history and were often hypertensive.</w:t>
      </w:r>
    </w:p>
    <w:p>
      <w:pPr>
        <w:pStyle w:val="Basictext"/>
        <w:spacing w:lineRule="auto" w:line="480"/>
        <w:rPr>
          <w:sz w:val="20"/>
          <w:szCs w:val="20"/>
          <w:lang w:val="en-US"/>
        </w:rPr>
      </w:pPr>
      <w:r>
        <w:rPr>
          <w:b/>
          <w:bCs/>
          <w:color w:val="auto"/>
          <w:sz w:val="20"/>
          <w:szCs w:val="20"/>
          <w:lang w:val="en-US"/>
        </w:rPr>
        <w:t>Cluster 6: “Complex Treatments with Metabolic Component”</w:t>
      </w:r>
      <w:r>
        <w:rPr>
          <w:color w:val="auto"/>
          <w:sz w:val="20"/>
          <w:szCs w:val="20"/>
          <w:lang w:val="en-US"/>
        </w:rPr>
        <w:t>—Patients in Cluster 6 were similar to Cluster 5 but with an added profile of metabolic disorders, particularly diabetes. Average age was ~81.8 (slightly older than Cluster 5), 64% male. They had the highest frequency of “complex treatment” codes of any cluster, indicating many were receiving invasive procedures or intensive therapies. They also often had gait or transfer impairments noted and hypertension, but a distinguishing factor was the presence of metabolic disease codes in their top features. Many of these patients were diabetics with complications, or other metabolic issues like electrolyte imbalances or obesity.</w:t>
      </w:r>
    </w:p>
    <w:p>
      <w:pPr>
        <w:pStyle w:val="Basictext"/>
        <w:spacing w:lineRule="auto" w:line="480"/>
        <w:rPr>
          <w:sz w:val="20"/>
          <w:szCs w:val="20"/>
          <w:lang w:val="en-US"/>
        </w:rPr>
      </w:pPr>
      <w:r>
        <w:rPr>
          <w:b/>
          <w:bCs/>
          <w:color w:val="auto"/>
          <w:sz w:val="20"/>
          <w:szCs w:val="20"/>
          <w:lang w:val="en-US"/>
        </w:rPr>
        <w:t>Cluster 7: “Oncology &amp; Circulatory Interventions”</w:t>
      </w:r>
      <w:r>
        <w:rPr>
          <w:color w:val="auto"/>
          <w:sz w:val="20"/>
          <w:szCs w:val="20"/>
          <w:lang w:val="en-US"/>
        </w:rPr>
        <w:t>—Cluster 7 consisted of patients with active cancer treatments and other major medical interventions. Average age 64.9, 50% male. The salient features include measures for blood circulation (OPS 8-80 to 8-85) and radiation/chemotherapy procedures (OPS 8-52 to 8-54). This indicates many were oncology patients receiving chemo or radiotherapy, often with concurrent cardiovascular procedures. They also frequently had “application of medications” codes (6-00). These patients likely fall because of treatment side effects: chemotherapy can cause neuropathy, fatigue, anemia; radiation can cause weakness; extensive diagnostic tests mean they are in unfamiliar environments often.</w:t>
      </w:r>
    </w:p>
    <w:p>
      <w:pPr>
        <w:pStyle w:val="Basictext"/>
        <w:spacing w:lineRule="auto" w:line="480"/>
        <w:rPr>
          <w:sz w:val="20"/>
          <w:szCs w:val="20"/>
          <w:lang w:val="en-US"/>
        </w:rPr>
      </w:pPr>
      <w:r>
        <w:rPr>
          <w:b/>
          <w:bCs/>
          <w:color w:val="auto"/>
          <w:sz w:val="20"/>
          <w:szCs w:val="20"/>
          <w:lang w:val="en-US"/>
        </w:rPr>
        <w:t>Cluster 8: “Frequent Monitoring</w:t>
      </w:r>
      <w:r>
        <w:rPr>
          <w:color w:val="auto"/>
          <w:sz w:val="20"/>
          <w:szCs w:val="20"/>
          <w:lang w:val="en-US"/>
        </w:rPr>
        <w:t>”—Cluster 8 included patients around 84.5 years old on average. They were characterized by continuous monitoring procedures, prior falls, hypertension, and broader health-risk history. This pattern is consistent with medically complex patients under close cardiac or neurological surveillance.</w:t>
      </w:r>
    </w:p>
    <w:p>
      <w:pPr>
        <w:pStyle w:val="Basictext"/>
        <w:spacing w:lineRule="auto" w:line="480"/>
        <w:rPr>
          <w:sz w:val="20"/>
          <w:szCs w:val="20"/>
          <w:lang w:val="en-US"/>
        </w:rPr>
      </w:pPr>
      <w:r>
        <w:rPr>
          <w:b/>
          <w:bCs/>
          <w:color w:val="auto"/>
          <w:sz w:val="20"/>
          <w:szCs w:val="20"/>
          <w:lang w:val="en-US"/>
        </w:rPr>
        <w:t>Cluster 9: “Rehabilitation with Specialized Therapy (Phoniatric)</w:t>
      </w:r>
      <w:r>
        <w:rPr>
          <w:color w:val="auto"/>
          <w:sz w:val="20"/>
          <w:szCs w:val="20"/>
          <w:lang w:val="en-US"/>
        </w:rPr>
        <w:t xml:space="preserve">”—Cluster 9 patients share features with Cluster 4 (early rehab, walking/transfer impairments) but also have phoniatric and audiology therapy in their profile. This suggests patients who are in rehabilitation settings and also receiving speech or hearing therapy—possibly stroke patients or others with neurological deficits affecting speech/swallow. They also have complex care needs. </w:t>
      </w:r>
    </w:p>
    <w:p>
      <w:pPr>
        <w:pStyle w:val="Normal"/>
        <w:bidi w:val="0"/>
        <w:jc w:val="start"/>
        <w:rPr/>
      </w:pPr>
      <w:r>
        <w:rPr/>
      </w:r>
      <w:r>
        <w:br w:type="page"/>
      </w:r>
    </w:p>
    <w:p>
      <w:pPr>
        <w:pStyle w:val="Heading2"/>
        <w:numPr>
          <w:ilvl w:val="0"/>
          <w:numId w:val="0"/>
        </w:numPr>
        <w:spacing w:before="0" w:after="120"/>
        <w:ind w:hanging="851" w:start="851"/>
        <w:rPr>
          <w:sz w:val="26"/>
          <w:szCs w:val="26"/>
          <w:lang w:val="en-US"/>
        </w:rPr>
      </w:pPr>
      <w:r>
        <w:rPr>
          <w:rFonts w:eastAsia="Arial"/>
          <w:sz w:val="26"/>
          <w:szCs w:val="26"/>
          <w:lang w:val="en-US"/>
        </w:rPr>
        <w:t>Supplementary Table 6 and Supplementary Fig. 2: cluster-level descriptions</w:t>
      </w:r>
    </w:p>
    <w:p>
      <w:pPr>
        <w:pStyle w:val="Normal"/>
        <w:bidi w:val="0"/>
        <w:spacing w:lineRule="auto" w:line="480" w:before="0" w:after="240"/>
        <w:jc w:val="start"/>
        <w:rPr>
          <w:rFonts w:cs="Times New Roman"/>
          <w:sz w:val="20"/>
          <w:szCs w:val="20"/>
        </w:rPr>
      </w:pPr>
      <w:r>
        <w:rPr>
          <w:rFonts w:cs="Times New Roman" w:ascii="Times New Roman" w:hAnsi="Times New Roman"/>
          <w:sz w:val="20"/>
          <w:szCs w:val="20"/>
        </w:rPr>
        <w:t>For each clustering method and each resulting cluster, we report cluster size (</w:t>
      </w:r>
      <w:r>
        <w:rPr>
          <w:rFonts w:cs="Times New Roman" w:ascii="Times New Roman" w:hAnsi="Times New Roman"/>
          <w:i/>
          <w:iCs/>
          <w:sz w:val="20"/>
          <w:szCs w:val="20"/>
        </w:rPr>
        <w:t>n</w:t>
      </w:r>
      <w:r>
        <w:rPr>
          <w:rFonts w:cs="Times New Roman" w:ascii="Times New Roman" w:hAnsi="Times New Roman"/>
          <w:sz w:val="20"/>
          <w:szCs w:val="20"/>
        </w:rPr>
        <w:t xml:space="preserve">), number of falls, observed fall incidence with 95% Wilson confidence interval, and mean predicted fall risk. Clusters are identified by the method-specific cluster label (C0, C1, …). If a minimum cluster-size rule is applied (e.g., &lt;1%), this is reflected in </w:t>
      </w:r>
      <w:r>
        <w:rPr>
          <w:rFonts w:cs="Times New Roman" w:ascii="Times New Roman" w:hAnsi="Times New Roman"/>
          <w:i/>
          <w:iCs/>
          <w:sz w:val="20"/>
          <w:szCs w:val="20"/>
        </w:rPr>
        <w:t>k</w:t>
      </w:r>
      <w:r>
        <w:rPr>
          <w:rFonts w:cs="Times New Roman" w:ascii="Times New Roman" w:hAnsi="Times New Roman"/>
          <w:i/>
          <w:iCs/>
          <w:sz w:val="20"/>
          <w:szCs w:val="20"/>
          <w:vertAlign w:val="subscript"/>
        </w:rPr>
        <w:t>effective</w:t>
      </w:r>
      <w:r>
        <w:rPr>
          <w:rFonts w:cs="Times New Roman" w:ascii="Times New Roman" w:hAnsi="Times New Roman"/>
          <w:i/>
          <w:iCs/>
          <w:sz w:val="20"/>
          <w:szCs w:val="20"/>
        </w:rPr>
        <w:t xml:space="preserve"> </w:t>
      </w:r>
      <w:r>
        <w:rPr>
          <w:rFonts w:cs="Times New Roman" w:ascii="Times New Roman" w:hAnsi="Times New Roman"/>
          <w:sz w:val="20"/>
          <w:szCs w:val="20"/>
        </w:rPr>
        <w:t>as reported in Table 3.</w:t>
      </w:r>
    </w:p>
    <w:p>
      <w:pPr>
        <w:pStyle w:val="Basictext"/>
        <w:rPr>
          <w:lang w:val="en-US"/>
        </w:rPr>
      </w:pPr>
      <w:r>
        <w:rPr>
          <w:b/>
          <w:bCs/>
          <w:sz w:val="20"/>
          <w:szCs w:val="20"/>
          <w:lang w:val="en-US"/>
        </w:rPr>
        <w:t>Supplementary Table 6</w:t>
      </w:r>
      <w:r>
        <w:rPr>
          <w:sz w:val="20"/>
          <w:szCs w:val="20"/>
          <w:lang w:val="en-US"/>
        </w:rPr>
        <w:t xml:space="preserve"> Cluster-level outcomes in the high-risk evaluation cohort (alert threshold p≥0.08)</w:t>
      </w:r>
      <w:r>
        <w:rPr>
          <w:lang w:val="en-US"/>
        </w:rPr>
        <w:tab/>
      </w:r>
    </w:p>
    <w:tbl>
      <w:tblPr>
        <w:tblW w:w="9582" w:type="dxa"/>
        <w:jc w:val="start"/>
        <w:tblInd w:w="0" w:type="dxa"/>
        <w:tblLayout w:type="fixed"/>
        <w:tblCellMar>
          <w:top w:w="0" w:type="dxa"/>
          <w:start w:w="108" w:type="dxa"/>
          <w:bottom w:w="0" w:type="dxa"/>
          <w:end w:w="108" w:type="dxa"/>
        </w:tblCellMar>
      </w:tblPr>
      <w:tblGrid>
        <w:gridCol w:w="1365"/>
        <w:gridCol w:w="606"/>
        <w:gridCol w:w="848"/>
        <w:gridCol w:w="779"/>
        <w:gridCol w:w="1009"/>
        <w:gridCol w:w="1238"/>
        <w:gridCol w:w="1413"/>
        <w:gridCol w:w="1131"/>
        <w:gridCol w:w="1193"/>
      </w:tblGrid>
      <w:tr>
        <w:trPr>
          <w:trHeight w:val="255" w:hRule="atLeast"/>
        </w:trPr>
        <w:tc>
          <w:tcPr>
            <w:tcW w:w="1365" w:type="dxa"/>
            <w:tcBorders/>
            <w:vAlign w:val="bottom"/>
          </w:tcPr>
          <w:p>
            <w:pPr>
              <w:pStyle w:val="Normal"/>
              <w:bidi w:val="0"/>
              <w:spacing w:before="0" w:after="0"/>
              <w:jc w:val="center"/>
              <w:rPr>
                <w:rFonts w:ascii="Arial" w:hAnsi="Arial" w:eastAsia="DejaVu Sans" w:cs="DejaVu Sans"/>
                <w:b/>
                <w:bCs/>
                <w:sz w:val="20"/>
                <w:szCs w:val="20"/>
              </w:rPr>
            </w:pPr>
            <w:r>
              <w:rPr>
                <w:rFonts w:eastAsia="DejaVu Sans" w:cs="DejaVu Sans" w:ascii="Arial" w:hAnsi="Arial"/>
                <w:b/>
                <w:bCs/>
                <w:sz w:val="20"/>
                <w:szCs w:val="20"/>
              </w:rPr>
              <w:t>Method</w:t>
            </w:r>
          </w:p>
        </w:tc>
        <w:tc>
          <w:tcPr>
            <w:tcW w:w="606" w:type="dxa"/>
            <w:tcBorders/>
            <w:vAlign w:val="bottom"/>
          </w:tcPr>
          <w:p>
            <w:pPr>
              <w:pStyle w:val="Normal"/>
              <w:bidi w:val="0"/>
              <w:spacing w:before="0" w:after="0"/>
              <w:jc w:val="center"/>
              <w:rPr>
                <w:rFonts w:ascii="Arial" w:hAnsi="Arial" w:eastAsia="DejaVu Sans" w:cs="DejaVu Sans"/>
                <w:b/>
                <w:bCs/>
                <w:sz w:val="20"/>
                <w:szCs w:val="20"/>
              </w:rPr>
            </w:pPr>
            <w:r>
              <w:rPr>
                <w:rFonts w:eastAsia="DejaVu Sans" w:cs="DejaVu Sans" w:ascii="Arial" w:hAnsi="Arial"/>
                <w:b/>
                <w:bCs/>
                <w:sz w:val="20"/>
                <w:szCs w:val="20"/>
              </w:rPr>
              <w:t>Cluster</w:t>
            </w:r>
          </w:p>
        </w:tc>
        <w:tc>
          <w:tcPr>
            <w:tcW w:w="848" w:type="dxa"/>
            <w:tcBorders/>
            <w:vAlign w:val="bottom"/>
          </w:tcPr>
          <w:p>
            <w:pPr>
              <w:pStyle w:val="Normal"/>
              <w:bidi w:val="0"/>
              <w:spacing w:before="0" w:after="0"/>
              <w:jc w:val="center"/>
              <w:rPr>
                <w:rFonts w:ascii="Arial" w:hAnsi="Arial" w:eastAsia="DejaVu Sans" w:cs="DejaVu Sans"/>
                <w:b/>
                <w:bCs/>
                <w:sz w:val="20"/>
                <w:szCs w:val="20"/>
              </w:rPr>
            </w:pPr>
            <w:r>
              <w:rPr>
                <w:rFonts w:eastAsia="DejaVu Sans" w:cs="DejaVu Sans" w:ascii="Arial" w:hAnsi="Arial"/>
                <w:b/>
                <w:bCs/>
                <w:sz w:val="20"/>
                <w:szCs w:val="20"/>
              </w:rPr>
              <w:t>n (patients)</w:t>
            </w:r>
          </w:p>
        </w:tc>
        <w:tc>
          <w:tcPr>
            <w:tcW w:w="779" w:type="dxa"/>
            <w:tcBorders/>
            <w:vAlign w:val="bottom"/>
          </w:tcPr>
          <w:p>
            <w:pPr>
              <w:pStyle w:val="Normal"/>
              <w:bidi w:val="0"/>
              <w:spacing w:before="0" w:after="0"/>
              <w:jc w:val="center"/>
              <w:rPr>
                <w:rFonts w:ascii="Arial" w:hAnsi="Arial" w:eastAsia="DejaVu Sans" w:cs="DejaVu Sans"/>
                <w:b/>
                <w:bCs/>
                <w:sz w:val="20"/>
                <w:szCs w:val="20"/>
              </w:rPr>
            </w:pPr>
            <w:r>
              <w:rPr>
                <w:rFonts w:eastAsia="DejaVu Sans" w:cs="DejaVu Sans" w:ascii="Arial" w:hAnsi="Arial"/>
                <w:b/>
                <w:bCs/>
                <w:sz w:val="20"/>
                <w:szCs w:val="20"/>
              </w:rPr>
              <w:t>% of cohort</w:t>
            </w:r>
          </w:p>
        </w:tc>
        <w:tc>
          <w:tcPr>
            <w:tcW w:w="1009" w:type="dxa"/>
            <w:tcBorders/>
            <w:vAlign w:val="bottom"/>
          </w:tcPr>
          <w:p>
            <w:pPr>
              <w:pStyle w:val="Normal"/>
              <w:bidi w:val="0"/>
              <w:spacing w:before="0" w:after="0"/>
              <w:jc w:val="center"/>
              <w:rPr>
                <w:rFonts w:ascii="Arial" w:hAnsi="Arial" w:eastAsia="DejaVu Sans" w:cs="DejaVu Sans"/>
                <w:b/>
                <w:bCs/>
                <w:sz w:val="20"/>
                <w:szCs w:val="20"/>
              </w:rPr>
            </w:pPr>
            <w:r>
              <w:rPr>
                <w:rFonts w:eastAsia="DejaVu Sans" w:cs="DejaVu Sans" w:ascii="Arial" w:hAnsi="Arial"/>
                <w:b/>
                <w:bCs/>
                <w:sz w:val="20"/>
                <w:szCs w:val="20"/>
              </w:rPr>
              <w:t>n (Falls)</w:t>
            </w:r>
          </w:p>
        </w:tc>
        <w:tc>
          <w:tcPr>
            <w:tcW w:w="1238" w:type="dxa"/>
            <w:tcBorders/>
            <w:vAlign w:val="bottom"/>
          </w:tcPr>
          <w:p>
            <w:pPr>
              <w:pStyle w:val="Normal"/>
              <w:bidi w:val="0"/>
              <w:spacing w:before="0" w:after="0"/>
              <w:jc w:val="center"/>
              <w:rPr>
                <w:rFonts w:ascii="Arial" w:hAnsi="Arial" w:eastAsia="DejaVu Sans" w:cs="DejaVu Sans"/>
                <w:b/>
                <w:bCs/>
                <w:sz w:val="20"/>
                <w:szCs w:val="20"/>
              </w:rPr>
            </w:pPr>
            <w:r>
              <w:rPr>
                <w:rFonts w:eastAsia="DejaVu Sans" w:cs="DejaVu Sans" w:ascii="Arial" w:hAnsi="Arial"/>
                <w:b/>
                <w:bCs/>
                <w:sz w:val="20"/>
                <w:szCs w:val="20"/>
              </w:rPr>
              <w:t>Observed incidence</w:t>
            </w:r>
          </w:p>
        </w:tc>
        <w:tc>
          <w:tcPr>
            <w:tcW w:w="1413" w:type="dxa"/>
            <w:tcBorders/>
            <w:vAlign w:val="bottom"/>
          </w:tcPr>
          <w:p>
            <w:pPr>
              <w:pStyle w:val="Normal"/>
              <w:bidi w:val="0"/>
              <w:spacing w:before="0" w:after="0"/>
              <w:jc w:val="center"/>
              <w:rPr>
                <w:rFonts w:ascii="Arial" w:hAnsi="Arial" w:eastAsia="DejaVu Sans" w:cs="DejaVu Sans"/>
                <w:b/>
                <w:bCs/>
                <w:sz w:val="20"/>
                <w:szCs w:val="20"/>
              </w:rPr>
            </w:pPr>
            <w:r>
              <w:rPr>
                <w:rFonts w:eastAsia="DejaVu Sans" w:cs="DejaVu Sans" w:ascii="Arial" w:hAnsi="Arial"/>
                <w:b/>
                <w:bCs/>
                <w:sz w:val="20"/>
                <w:szCs w:val="20"/>
              </w:rPr>
              <w:t>95% Wilson CI</w:t>
            </w:r>
          </w:p>
        </w:tc>
        <w:tc>
          <w:tcPr>
            <w:tcW w:w="1131" w:type="dxa"/>
            <w:tcBorders/>
            <w:vAlign w:val="bottom"/>
          </w:tcPr>
          <w:p>
            <w:pPr>
              <w:pStyle w:val="Normal"/>
              <w:bidi w:val="0"/>
              <w:spacing w:before="0" w:after="0"/>
              <w:jc w:val="center"/>
              <w:rPr>
                <w:rFonts w:ascii="Arial" w:hAnsi="Arial" w:eastAsia="DejaVu Sans" w:cs="DejaVu Sans"/>
                <w:b/>
                <w:bCs/>
                <w:sz w:val="20"/>
                <w:szCs w:val="20"/>
              </w:rPr>
            </w:pPr>
            <w:r>
              <w:rPr>
                <w:rFonts w:eastAsia="DejaVu Sans" w:cs="DejaVu Sans" w:ascii="Arial" w:hAnsi="Arial"/>
                <w:b/>
                <w:bCs/>
                <w:sz w:val="20"/>
                <w:szCs w:val="20"/>
              </w:rPr>
              <w:t>Mean predicted risk</w:t>
            </w:r>
          </w:p>
        </w:tc>
        <w:tc>
          <w:tcPr>
            <w:tcW w:w="1193" w:type="dxa"/>
            <w:tcBorders/>
            <w:vAlign w:val="bottom"/>
          </w:tcPr>
          <w:p>
            <w:pPr>
              <w:pStyle w:val="Normal"/>
              <w:bidi w:val="0"/>
              <w:spacing w:before="0" w:after="0"/>
              <w:jc w:val="center"/>
              <w:rPr>
                <w:rFonts w:ascii="Arial" w:hAnsi="Arial" w:eastAsia="DejaVu Sans" w:cs="DejaVu Sans"/>
                <w:b/>
                <w:bCs/>
                <w:sz w:val="20"/>
                <w:szCs w:val="20"/>
              </w:rPr>
            </w:pPr>
            <w:r>
              <w:rPr>
                <w:rFonts w:eastAsia="DejaVu Sans" w:cs="DejaVu Sans" w:ascii="Arial" w:hAnsi="Arial"/>
                <w:b/>
                <w:bCs/>
                <w:sz w:val="20"/>
                <w:szCs w:val="20"/>
              </w:rPr>
              <w:t>SD predicted risk</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SHAP_KMeans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1604</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17.55</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212</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 0.15]</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0.11</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SHAP_KMeans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272</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2.98</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28</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[0.07, 0.14]</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SHAP_KMeans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93</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1.02</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49</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0.53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[0.43, 0.63]</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0.44</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0.28</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SHAP_KMeans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143</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1.56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43</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0.30</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[0.23, 0.38]</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0.27</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0.11</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SHAP_KMeans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340</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3.72</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91</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0.27</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[0.22, 0.32]</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0.30</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0.24</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SHAP_KMeans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6583</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72.03</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1010</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0.16]</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1892</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20.70</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302</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0.18]</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525</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5.74</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84</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 0.19]</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1221</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13.36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192</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0.18]</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2089</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22.86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268</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[0.11, 0.14]</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0.17</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2263</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24.76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305</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 0.15]</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672</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7.35</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224</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0.33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[0.30, 0.37]</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0.29</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0.26</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133</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1.46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20</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 0.22]</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307</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3.36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54</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0.18</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0.22]</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0.22</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RAW_GMM</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1896</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20.75</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300</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0.18]</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RAW_GMM</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518</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5.67</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82</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 0.19]</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RAW_GMM</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1218</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13.33</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190</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0.18]</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RAW_GMM</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2088</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22.85</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267</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[0.11, 0.14]</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0.17</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RAW_GMM</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2243</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24.54</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302</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 0.15]</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RAW_GMM</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699</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7.65</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234</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0.33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[0.30, 0.37]</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0.29</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0.26</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RAW_GMM</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133</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1.46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20</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 0.22]</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RAW_GMM</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307</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3.36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54</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0.18</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0.22]</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0.22</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PCA_KMeans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767</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8.39</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128</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0.17</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0.19]</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0.17</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PCA_KMeans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1570</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17.18</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239</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0.17]</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PCA_KMeans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2143</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23.45</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271</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[0.11, 0.14]</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0.17</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PCA_KMeans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1727</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18.90</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278</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0.18]</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PCA_KMeans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2145</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23.47</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289</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 0.15]</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PCA_KMeans</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695</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7.60</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230</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0.33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[0.30, 0.37]</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0.28</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0.26</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RAW_Ward</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2055</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22.49</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384</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0.19</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[0.17, 0.20]</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0.22</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0.21</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RAW_Ward</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2348</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25.69</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362</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0.17]</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RAW_Ward</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149</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1.63</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18</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[0.08, 0.18]</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RAW_Ward</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1744</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19.08</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316</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0.18</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 0.20]</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RAW_Ward</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2446</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26.76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335</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 0.15]</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RAW_Ward</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357</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3.91</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35</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[0.07, 0.13]</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0.11</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RAW_Spectral</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149</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1.63</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22</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 0.21]</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0.17</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RAW_Spectral</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1949</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21.33</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461</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0.24</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[0.22, 0.26]</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0.21</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0.21</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RAW_Spectral</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106</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1.16</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15</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 0.22]</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RAW_Spectral</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438</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4.79</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82</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0.19</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 0.23]</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0.17</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RAW_Spectral</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154</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1.69</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17</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0.11</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[0.07, 0.17]</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0.18</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RAW_Spectral</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4707</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51.50</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687</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0.15</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 0.16]</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RAW_Spectral</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1085</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11.87</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98</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0.09</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[0.07, 0.11]</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0.16</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RAW_Spectral</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513</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5.61</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64</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[0.10, 0.16]</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0.17</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RiskBin</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8725</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95.47</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1111</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0.13</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[0.12, 0.13]</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0.14</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0.07</w:t>
            </w:r>
          </w:p>
        </w:tc>
      </w:tr>
      <w:tr>
        <w:trPr>
          <w:trHeight w:val="255" w:hRule="atLeast"/>
        </w:trPr>
        <w:tc>
          <w:tcPr>
            <w:tcW w:w="1365" w:type="dxa"/>
            <w:tcBorders/>
            <w:vAlign w:val="bottom"/>
          </w:tcPr>
          <w:p>
            <w:pPr>
              <w:pStyle w:val="Normal"/>
              <w:bidi w:val="0"/>
              <w:spacing w:before="0" w:after="0"/>
              <w:jc w:val="start"/>
              <w:rPr>
                <w:rFonts w:ascii="Arial" w:hAnsi="Arial" w:eastAsia="DejaVu Sans" w:cs="DejaVu Sans"/>
                <w:sz w:val="16"/>
                <w:szCs w:val="16"/>
              </w:rPr>
            </w:pPr>
            <w:r>
              <w:rPr>
                <w:rFonts w:eastAsia="DejaVu Sans" w:cs="DejaVu Sans" w:ascii="Arial" w:hAnsi="Arial"/>
                <w:sz w:val="16"/>
                <w:szCs w:val="16"/>
              </w:rPr>
              <w:t>RiskBin</w:t>
            </w:r>
          </w:p>
        </w:tc>
        <w:tc>
          <w:tcPr>
            <w:tcW w:w="606"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3</w:t>
            </w:r>
          </w:p>
        </w:tc>
        <w:tc>
          <w:tcPr>
            <w:tcW w:w="84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94</w:t>
            </w:r>
          </w:p>
        </w:tc>
        <w:tc>
          <w:tcPr>
            <w:tcW w:w="77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1.03</w:t>
            </w:r>
          </w:p>
        </w:tc>
        <w:tc>
          <w:tcPr>
            <w:tcW w:w="1009"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75</w:t>
            </w:r>
          </w:p>
        </w:tc>
        <w:tc>
          <w:tcPr>
            <w:tcW w:w="1238"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0.80</w:t>
            </w:r>
          </w:p>
        </w:tc>
        <w:tc>
          <w:tcPr>
            <w:tcW w:w="141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[0.71, 0.87]</w:t>
            </w:r>
          </w:p>
        </w:tc>
        <w:tc>
          <w:tcPr>
            <w:tcW w:w="1131"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0.68</w:t>
            </w:r>
          </w:p>
        </w:tc>
        <w:tc>
          <w:tcPr>
            <w:tcW w:w="1193" w:type="dxa"/>
            <w:tcBorders/>
            <w:vAlign w:val="bottom"/>
          </w:tcPr>
          <w:p>
            <w:pPr>
              <w:pStyle w:val="Normal"/>
              <w:bidi w:val="0"/>
              <w:spacing w:before="0" w:after="0"/>
              <w:jc w:val="end"/>
              <w:rPr>
                <w:rFonts w:ascii="Arial" w:hAnsi="Arial" w:eastAsia="DejaVu Sans" w:cs="DejaVu Sans"/>
                <w:sz w:val="20"/>
                <w:szCs w:val="20"/>
              </w:rPr>
            </w:pPr>
            <w:r>
              <w:rPr>
                <w:rFonts w:eastAsia="DejaVu Sans" w:cs="DejaVu Sans" w:ascii="Arial" w:hAnsi="Arial"/>
                <w:sz w:val="20"/>
                <w:szCs w:val="20"/>
              </w:rPr>
              <w:t>0.02</w:t>
            </w:r>
          </w:p>
        </w:tc>
      </w:tr>
    </w:tbl>
    <w:p>
      <w:pPr>
        <w:pStyle w:val="Basictext"/>
        <w:rPr>
          <w:sz w:val="20"/>
          <w:szCs w:val="20"/>
          <w:lang w:val="en-US"/>
        </w:rPr>
      </w:pPr>
      <w:r>
        <w:rPr>
          <w:b/>
          <w:bCs/>
          <w:sz w:val="20"/>
          <w:szCs w:val="20"/>
          <w:lang w:val="en-US"/>
        </w:rPr>
        <w:t>Notes</w:t>
      </w:r>
      <w:r>
        <w:rPr>
          <w:sz w:val="20"/>
          <w:szCs w:val="20"/>
          <w:lang w:val="en-US"/>
        </w:rPr>
        <w:t>: Clusters &lt;1% were collapsed for reporting (excluded from the method-level separation metrics), so the effective number of clusters (</w:t>
      </w:r>
      <w:r>
        <w:rPr>
          <w:i/>
          <w:iCs/>
          <w:sz w:val="20"/>
          <w:szCs w:val="20"/>
          <w:lang w:val="en-US"/>
        </w:rPr>
        <w:t>k</w:t>
      </w:r>
      <w:r>
        <w:rPr>
          <w:i/>
          <w:iCs/>
          <w:sz w:val="20"/>
          <w:szCs w:val="20"/>
          <w:vertAlign w:val="subscript"/>
          <w:lang w:val="en-US"/>
        </w:rPr>
        <w:t>effective</w:t>
      </w:r>
      <w:r>
        <w:rPr>
          <w:sz w:val="20"/>
          <w:szCs w:val="20"/>
          <w:lang w:val="en-US"/>
        </w:rPr>
        <w:t>) may be &lt;9. Observed incidence is computed on the held-out evaluation cohort (alerts at p≥0.08), and Wilson CIs are reported for binomial proportions. Mean predicted risk is the model’s mean predicted probability within each cluster.</w:t>
      </w:r>
    </w:p>
    <w:p>
      <w:pPr>
        <w:pStyle w:val="Heading2"/>
        <w:numPr>
          <w:ilvl w:val="0"/>
          <w:numId w:val="0"/>
        </w:numPr>
        <w:spacing w:lineRule="auto" w:line="480" w:before="0" w:after="120"/>
        <w:ind w:hanging="0" w:start="0"/>
        <w:rPr>
          <w:sz w:val="20"/>
          <w:szCs w:val="20"/>
          <w:lang w:val="en-US"/>
        </w:rPr>
      </w:pPr>
      <w:r>
        <w:rPr>
          <w:rFonts w:eastAsia="Arial"/>
          <w:b w:val="false"/>
          <w:sz w:val="20"/>
          <w:szCs w:val="20"/>
          <w:lang w:val="en-US"/>
        </w:rPr>
        <w:t>Supplementary Fig. 2 visualizes the same cluster-level outcomes (observed incidence with 95% Wilson CI and mean predicted risk), highlighting the stronger outcome gradient for SHAP-space clustering.</w:t>
      </w:r>
      <w:r>
        <w:rPr>
          <w:rFonts w:eastAsia="Arial"/>
          <w:sz w:val="20"/>
          <w:szCs w:val="20"/>
          <w:lang w:val="en-US"/>
        </w:rPr>
        <w:t xml:space="preserve"> </w:t>
      </w:r>
    </w:p>
    <w:p>
      <w:pPr>
        <w:pStyle w:val="Basictext"/>
        <w:jc w:val="center"/>
        <w:rPr>
          <w:lang w:val="en-US"/>
        </w:rPr>
      </w:pPr>
      <w:r>
        <w:rPr/>
        <w:drawing>
          <wp:inline distT="0" distB="0" distL="0" distR="0">
            <wp:extent cx="1876425" cy="5981700"/>
            <wp:effectExtent l="0" t="0" r="0" b="0"/>
            <wp:docPr id="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pic:cNvPicPr>
                      <a:picLocks noChangeAspect="1" noChangeArrowheads="1"/>
                    </pic:cNvPicPr>
                  </pic:nvPicPr>
                  <pic:blipFill>
                    <a:blip r:embed="rId3"/>
                    <a:stretch>
                      <a:fillRect/>
                    </a:stretch>
                  </pic:blipFill>
                  <pic:spPr bwMode="auto">
                    <a:xfrm>
                      <a:off x="0" y="0"/>
                      <a:ext cx="1876425" cy="5981700"/>
                    </a:xfrm>
                    <a:prstGeom prst="rect">
                      <a:avLst/>
                    </a:prstGeom>
                    <a:noFill/>
                  </pic:spPr>
                </pic:pic>
              </a:graphicData>
            </a:graphic>
          </wp:inline>
        </w:drawing>
      </w:r>
    </w:p>
    <w:p>
      <w:pPr>
        <w:pStyle w:val="Basictext"/>
        <w:spacing w:before="120" w:after="60"/>
        <w:rPr>
          <w:sz w:val="20"/>
          <w:szCs w:val="20"/>
          <w:lang w:val="en-US"/>
        </w:rPr>
      </w:pPr>
      <w:r>
        <w:rPr>
          <w:b/>
          <w:bCs/>
          <w:sz w:val="20"/>
          <w:szCs w:val="20"/>
          <w:lang w:val="en-US"/>
        </w:rPr>
        <w:t>Supplementary Fig. 2</w:t>
      </w:r>
      <w:r>
        <w:rPr>
          <w:sz w:val="20"/>
          <w:szCs w:val="20"/>
          <w:lang w:val="en-US"/>
        </w:rPr>
        <w:t xml:space="preserve"> Cluster-level observed fall incidence (dots, 95% Wilson CI) and mean predicted risk (diamonds) in the high-risk cohort (p≥0.08).</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fixed"/>
  </w:font>
  <w:font w:name="Arial Bold">
    <w:charset w:val="01"/>
    <w:family w:val="roman"/>
    <w:pitch w:val="fixed"/>
  </w:font>
  <w:font w:name="Times New Roman">
    <w:charset w:val="01"/>
    <w:family w:val="roman"/>
    <w:pitch w:val="fixed"/>
  </w:font>
  <w:font w:name="Arial">
    <w:charset w:val="01"/>
    <w:family w:val="swiss"/>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Courier New" w:hAnsi="Courier New" w:eastAsia="Noto Serif CJK SC" w:cs="Noto Sans Devanagari"/>
      <w:color w:val="auto"/>
      <w:kern w:val="2"/>
      <w:sz w:val="24"/>
      <w:szCs w:val="24"/>
      <w:lang w:val="en-US" w:eastAsia="zh-CN" w:bidi="hi-IN"/>
    </w:rPr>
  </w:style>
  <w:style w:type="paragraph" w:styleId="Heading1">
    <w:name w:val="heading 1"/>
    <w:next w:val="Basictext"/>
    <w:qFormat/>
    <w:pPr>
      <w:keepNext w:val="true"/>
      <w:keepLines/>
      <w:widowControl/>
      <w:numPr>
        <w:ilvl w:val="0"/>
        <w:numId w:val="1"/>
      </w:numPr>
      <w:tabs>
        <w:tab w:val="clear" w:pos="709"/>
        <w:tab w:val="left" w:pos="851" w:leader="none"/>
      </w:tabs>
      <w:suppressAutoHyphens w:val="true"/>
      <w:overflowPunct w:val="false"/>
      <w:bidi w:val="0"/>
      <w:spacing w:before="240" w:after="120"/>
      <w:jc w:val="both"/>
      <w:outlineLvl w:val="0"/>
    </w:pPr>
    <w:rPr>
      <w:rFonts w:ascii="Arial Bold" w:hAnsi="Arial Bold" w:eastAsia="Times New Roman" w:cs="Times New Roman"/>
      <w:b/>
      <w:color w:val="auto"/>
      <w:kern w:val="2"/>
      <w:sz w:val="28"/>
      <w:szCs w:val="24"/>
      <w:lang w:val="en-GB" w:eastAsia="en-US" w:bidi="ar-SA"/>
    </w:rPr>
  </w:style>
  <w:style w:type="paragraph" w:styleId="Heading2">
    <w:name w:val="heading 2"/>
    <w:next w:val="Basictext"/>
    <w:qFormat/>
    <w:pPr>
      <w:keepNext w:val="true"/>
      <w:keepLines/>
      <w:widowControl/>
      <w:numPr>
        <w:ilvl w:val="1"/>
        <w:numId w:val="1"/>
      </w:numPr>
      <w:tabs>
        <w:tab w:val="clear" w:pos="709"/>
        <w:tab w:val="left" w:pos="851" w:leader="none"/>
      </w:tabs>
      <w:suppressAutoHyphens w:val="true"/>
      <w:overflowPunct w:val="false"/>
      <w:bidi w:val="0"/>
      <w:spacing w:before="220" w:after="120"/>
      <w:jc w:val="both"/>
      <w:outlineLvl w:val="1"/>
    </w:pPr>
    <w:rPr>
      <w:rFonts w:ascii="Times New Roman" w:hAnsi="Times New Roman" w:eastAsia="Times New Roman" w:cs="Times New Roman"/>
      <w:b/>
      <w:color w:val="auto"/>
      <w:kern w:val="0"/>
      <w:sz w:val="24"/>
      <w:szCs w:val="22"/>
      <w:lang w:val="en-GB" w:eastAsia="en-US" w:bidi="ar-SA"/>
    </w:rPr>
  </w:style>
  <w:style w:type="paragraph" w:styleId="Heading">
    <w:name w:val="Heading"/>
    <w:basedOn w:val="Normal"/>
    <w:next w:val="BodyText"/>
    <w:qFormat/>
    <w:pPr>
      <w:keepNext w:val="true"/>
      <w:spacing w:before="240" w:after="120"/>
    </w:pPr>
    <w:rPr>
      <w:rFonts w:ascii="Arial" w:hAnsi="Arial"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ourier New" w:hAnsi="Courier New" w:cs="Noto Sans Devanagari"/>
    </w:rPr>
  </w:style>
  <w:style w:type="paragraph" w:styleId="Caption">
    <w:name w:val="caption"/>
    <w:basedOn w:val="Normal"/>
    <w:qFormat/>
    <w:pPr>
      <w:suppressLineNumbers/>
      <w:spacing w:before="120" w:after="120"/>
    </w:pPr>
    <w:rPr>
      <w:rFonts w:ascii="Courier New" w:hAnsi="Courier New" w:cs="Noto Sans Devanagari"/>
      <w:i/>
      <w:iCs/>
      <w:sz w:val="24"/>
      <w:szCs w:val="24"/>
    </w:rPr>
  </w:style>
  <w:style w:type="paragraph" w:styleId="Index">
    <w:name w:val="Index"/>
    <w:basedOn w:val="Normal"/>
    <w:qFormat/>
    <w:pPr>
      <w:suppressLineNumbers/>
    </w:pPr>
    <w:rPr>
      <w:rFonts w:ascii="Courier New" w:hAnsi="Courier New" w:cs="Noto Sans Devanagari"/>
    </w:rPr>
  </w:style>
  <w:style w:type="paragraph" w:styleId="Basictext">
    <w:name w:val="Basic text"/>
    <w:qFormat/>
    <w:pPr>
      <w:widowControl/>
      <w:suppressAutoHyphens w:val="true"/>
      <w:overflowPunct w:val="false"/>
      <w:bidi w:val="0"/>
      <w:spacing w:before="120" w:after="60"/>
      <w:jc w:val="both"/>
    </w:pPr>
    <w:rPr>
      <w:rFonts w:ascii="Times New Roman" w:hAnsi="Times New Roman" w:eastAsia="Times New Roman" w:cs="Times New Roman"/>
      <w:color w:val="000000"/>
      <w:kern w:val="0"/>
      <w:sz w:val="22"/>
      <w:szCs w:val="15"/>
      <w:lang w:val="en-GB" w:eastAsia="en-US" w:bidi="ar-SA"/>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LibreOffice/25.8.5.2$Linux_X86_64 LibreOffice_project/580$Build-2</Application>
  <AppVersion>15.0000</AppVersion>
  <Pages>8</Pages>
  <Words>2182</Words>
  <Characters>12178</Characters>
  <CharactersWithSpaces>13928</CharactersWithSpaces>
  <Paragraphs>581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2026-03-26T18:04:41Z</dcterms:created>
  <dc:creator>Matthias Schulte-Althoff</dc:creator>
  <dc:description/>
  <dc:language>en-US</dc:language>
  <cp:lastModifiedBy>Matthias Schulte-Althoff</cp:lastModifiedBy>
  <dcterms:modified xsi:type="dcterms:W3CDTF">2026-04-03T12:23:56Z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