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80C6F">
      <w:pPr>
        <w:spacing w:after="0" w:line="480" w:lineRule="auto"/>
        <w:jc w:val="both"/>
        <w:rPr>
          <w:rFonts w:ascii="Times New Roman" w:hAnsi="Times New Roman" w:cs="Times New Roman"/>
          <w:b/>
          <w:bCs/>
          <w:szCs w:val="22"/>
        </w:rPr>
      </w:pPr>
      <w:r>
        <w:rPr>
          <w:rFonts w:ascii="Times New Roman" w:hAnsi="Times New Roman" w:cs="Times New Roman"/>
          <w:b/>
          <w:bCs/>
          <w:szCs w:val="22"/>
        </w:rPr>
        <w:t>Supplementary Materials</w:t>
      </w:r>
    </w:p>
    <w:p w14:paraId="2C61F3D0">
      <w:pPr>
        <w:spacing w:after="0" w:line="480" w:lineRule="auto"/>
        <w:jc w:val="both"/>
        <w:rPr>
          <w:rFonts w:ascii="Times New Roman" w:hAnsi="Times New Roman" w:cs="Times New Roman"/>
          <w:szCs w:val="22"/>
        </w:rPr>
      </w:pPr>
      <w:r>
        <w:rPr>
          <w:rFonts w:ascii="Times New Roman" w:hAnsi="Times New Roman" w:cs="Times New Roman"/>
          <w:szCs w:val="22"/>
        </w:rPr>
        <w:t>Best Overall Response (BOR) Assessment</w:t>
      </w:r>
    </w:p>
    <w:p w14:paraId="21D2DE47">
      <w:pPr>
        <w:spacing w:line="480" w:lineRule="auto"/>
        <w:ind w:firstLine="220" w:firstLineChars="100"/>
        <w:jc w:val="both"/>
        <w:rPr>
          <w:rFonts w:ascii="Times New Roman" w:hAnsi="Times New Roman" w:cs="Times New Roman"/>
        </w:rPr>
      </w:pPr>
      <w:r>
        <w:rPr>
          <w:rFonts w:ascii="Times New Roman" w:hAnsi="Times New Roman" w:cs="Times New Roman"/>
        </w:rPr>
        <w:t>Platelets improved from 62 (52–102) at baseline to 169 (142–222) at follow-up, but this change did not reach statistical significance (HL Δ +122.25 [−49.0 to 223.0]; Wilcoxon p=0.2969). CRP decreased from 107.09 (28.86–168.51) at baseline to 1.00 (0.59–1.75) at follow-up (HL Δ −102.66 [−192.76 to −24.82]; p=0.0156). Albumin increased from 27.2 (26.4–29.1) at baseline to 42.2 (40.3–43.0) at follow-up (HL Δ +14.43 [11.25 to 16.30]; p=0.0156). Scr decreased from 242.0 (160.55–256.05) at baseline to 84.8 (71.95–86.75) at follow-up (HL Δ −125.63 [−214.28 to −69.32]; p=0.0156).</w:t>
      </w:r>
    </w:p>
    <w:p w14:paraId="23A1C659">
      <w:pPr>
        <w:spacing w:after="0" w:line="480" w:lineRule="auto"/>
        <w:jc w:val="center"/>
        <w:rPr>
          <w:rFonts w:ascii="Times New Roman" w:hAnsi="Times New Roman" w:cs="Times New Roman"/>
        </w:rPr>
      </w:pPr>
      <w:r>
        <w:rPr>
          <w:rFonts w:ascii="Times New Roman" w:hAnsi="Times New Roman" w:cs="Times New Roman"/>
          <w:b/>
          <w:color w:val="000000" w:themeColor="text1"/>
          <w:szCs w:val="22"/>
          <w14:textFill>
            <w14:solidFill>
              <w14:schemeClr w14:val="tx1"/>
            </w14:solidFill>
          </w14:textFill>
        </w:rPr>
        <w:t xml:space="preserve">Table </w:t>
      </w:r>
      <w:r>
        <w:rPr>
          <w:rFonts w:hint="eastAsia" w:ascii="Times New Roman" w:hAnsi="Times New Roman" w:cs="Times New Roman"/>
          <w:b/>
          <w:color w:val="000000" w:themeColor="text1"/>
          <w:szCs w:val="22"/>
          <w:lang w:val="en-US" w:eastAsia="zh-CN"/>
          <w14:textFill>
            <w14:solidFill>
              <w14:schemeClr w14:val="tx1"/>
            </w14:solidFill>
          </w14:textFill>
        </w:rPr>
        <w:t>1</w:t>
      </w:r>
      <w:r>
        <w:rPr>
          <w:rFonts w:ascii="Times New Roman" w:hAnsi="Times New Roman" w:cs="Times New Roman"/>
          <w:b/>
          <w:color w:val="000000" w:themeColor="text1"/>
          <w:szCs w:val="22"/>
          <w14:textFill>
            <w14:solidFill>
              <w14:schemeClr w14:val="tx1"/>
            </w14:solidFill>
          </w14:textFill>
        </w:rPr>
        <w:t>. Paired laboratory changes (Wilcoxon + HL)</w:t>
      </w:r>
    </w:p>
    <w:tbl>
      <w:tblPr>
        <w:tblStyle w:val="3"/>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3"/>
        <w:gridCol w:w="1416"/>
        <w:gridCol w:w="1431"/>
        <w:gridCol w:w="1446"/>
        <w:gridCol w:w="1756"/>
        <w:gridCol w:w="1140"/>
      </w:tblGrid>
      <w:tr w14:paraId="42DFAF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4" w:type="pct"/>
            <w:tcBorders>
              <w:top w:val="single" w:color="auto" w:sz="4" w:space="0"/>
              <w:bottom w:val="single" w:color="auto" w:sz="4" w:space="0"/>
            </w:tcBorders>
          </w:tcPr>
          <w:p w14:paraId="3728EFEC">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Analyte (n=7)</w:t>
            </w:r>
          </w:p>
        </w:tc>
        <w:tc>
          <w:tcPr>
            <w:tcW w:w="854" w:type="pct"/>
            <w:tcBorders>
              <w:top w:val="single" w:color="auto" w:sz="4" w:space="0"/>
              <w:bottom w:val="single" w:color="auto" w:sz="4" w:space="0"/>
            </w:tcBorders>
          </w:tcPr>
          <w:p w14:paraId="097E3341">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Baseline median (IQR)</w:t>
            </w:r>
          </w:p>
        </w:tc>
        <w:tc>
          <w:tcPr>
            <w:tcW w:w="938" w:type="pct"/>
            <w:tcBorders>
              <w:top w:val="single" w:color="auto" w:sz="4" w:space="0"/>
              <w:bottom w:val="single" w:color="auto" w:sz="4" w:space="0"/>
            </w:tcBorders>
          </w:tcPr>
          <w:p w14:paraId="12E4FF0F">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Follow-up median (IQR)</w:t>
            </w:r>
          </w:p>
        </w:tc>
        <w:tc>
          <w:tcPr>
            <w:tcW w:w="854" w:type="pct"/>
            <w:tcBorders>
              <w:top w:val="single" w:color="auto" w:sz="4" w:space="0"/>
              <w:bottom w:val="single" w:color="auto" w:sz="4" w:space="0"/>
            </w:tcBorders>
          </w:tcPr>
          <w:p w14:paraId="5479ABB5">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Change median (IQR)</w:t>
            </w:r>
          </w:p>
        </w:tc>
        <w:tc>
          <w:tcPr>
            <w:tcW w:w="938" w:type="pct"/>
            <w:tcBorders>
              <w:top w:val="single" w:color="auto" w:sz="4" w:space="0"/>
              <w:bottom w:val="single" w:color="auto" w:sz="4" w:space="0"/>
            </w:tcBorders>
          </w:tcPr>
          <w:p w14:paraId="622B3953">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Hodges–Lehmann Δ (95% CI)</w:t>
            </w:r>
          </w:p>
        </w:tc>
        <w:tc>
          <w:tcPr>
            <w:tcW w:w="563" w:type="pct"/>
            <w:tcBorders>
              <w:top w:val="single" w:color="auto" w:sz="4" w:space="0"/>
              <w:bottom w:val="single" w:color="auto" w:sz="4" w:space="0"/>
            </w:tcBorders>
          </w:tcPr>
          <w:p w14:paraId="618135CB">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Wilcoxon p</w:t>
            </w:r>
          </w:p>
        </w:tc>
      </w:tr>
      <w:tr w14:paraId="3E2E43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4" w:type="pct"/>
            <w:tcBorders>
              <w:top w:val="single" w:color="auto" w:sz="4" w:space="0"/>
            </w:tcBorders>
          </w:tcPr>
          <w:p w14:paraId="7D94B59E">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PLT</w:t>
            </w:r>
            <w:r>
              <w:rPr>
                <w:rFonts w:hint="eastAsia" w:ascii="Times New Roman" w:hAnsi="Times New Roman" w:cs="Times New Roman"/>
                <w:sz w:val="18"/>
                <w:szCs w:val="18"/>
              </w:rPr>
              <w:t xml:space="preserve"> </w:t>
            </w:r>
            <w:r>
              <w:rPr>
                <w:rFonts w:ascii="Times New Roman" w:hAnsi="Times New Roman" w:cs="Times New Roman"/>
                <w:sz w:val="18"/>
                <w:szCs w:val="18"/>
              </w:rPr>
              <w:t>(×10^9/L)</w:t>
            </w:r>
          </w:p>
        </w:tc>
        <w:tc>
          <w:tcPr>
            <w:tcW w:w="854" w:type="pct"/>
            <w:tcBorders>
              <w:top w:val="single" w:color="auto" w:sz="4" w:space="0"/>
            </w:tcBorders>
          </w:tcPr>
          <w:p w14:paraId="63D1647A">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62 (52–102)</w:t>
            </w:r>
          </w:p>
        </w:tc>
        <w:tc>
          <w:tcPr>
            <w:tcW w:w="938" w:type="pct"/>
            <w:tcBorders>
              <w:top w:val="single" w:color="auto" w:sz="4" w:space="0"/>
            </w:tcBorders>
          </w:tcPr>
          <w:p w14:paraId="0827DCD1">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169 (142–222)</w:t>
            </w:r>
          </w:p>
        </w:tc>
        <w:tc>
          <w:tcPr>
            <w:tcW w:w="854" w:type="pct"/>
            <w:tcBorders>
              <w:top w:val="single" w:color="auto" w:sz="4" w:space="0"/>
            </w:tcBorders>
          </w:tcPr>
          <w:p w14:paraId="3DA9E4B4">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128 (52–172)</w:t>
            </w:r>
          </w:p>
        </w:tc>
        <w:tc>
          <w:tcPr>
            <w:tcW w:w="938" w:type="pct"/>
            <w:tcBorders>
              <w:top w:val="single" w:color="auto" w:sz="4" w:space="0"/>
            </w:tcBorders>
          </w:tcPr>
          <w:p w14:paraId="514AC51F">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128 (-49 to 228)</w:t>
            </w:r>
          </w:p>
        </w:tc>
        <w:tc>
          <w:tcPr>
            <w:tcW w:w="563" w:type="pct"/>
            <w:tcBorders>
              <w:top w:val="single" w:color="auto" w:sz="4" w:space="0"/>
            </w:tcBorders>
          </w:tcPr>
          <w:p w14:paraId="3A6E47A1">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0.2969</w:t>
            </w:r>
          </w:p>
        </w:tc>
      </w:tr>
      <w:tr w14:paraId="5AF51C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4" w:type="pct"/>
          </w:tcPr>
          <w:p w14:paraId="7D997870">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CRP</w:t>
            </w:r>
            <w:r>
              <w:rPr>
                <w:rFonts w:hint="eastAsia" w:ascii="Times New Roman" w:hAnsi="Times New Roman" w:cs="Times New Roman"/>
                <w:sz w:val="18"/>
                <w:szCs w:val="18"/>
              </w:rPr>
              <w:t xml:space="preserve"> </w:t>
            </w:r>
            <w:r>
              <w:rPr>
                <w:rFonts w:ascii="Times New Roman" w:hAnsi="Times New Roman" w:cs="Times New Roman"/>
                <w:sz w:val="18"/>
                <w:szCs w:val="18"/>
              </w:rPr>
              <w:t>(mg/L)</w:t>
            </w:r>
          </w:p>
        </w:tc>
        <w:tc>
          <w:tcPr>
            <w:tcW w:w="854" w:type="pct"/>
          </w:tcPr>
          <w:p w14:paraId="519A65E8">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107.09 (28.86–168.51)</w:t>
            </w:r>
          </w:p>
        </w:tc>
        <w:tc>
          <w:tcPr>
            <w:tcW w:w="938" w:type="pct"/>
          </w:tcPr>
          <w:p w14:paraId="0F541ED9">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 (0.59–1.75)</w:t>
            </w:r>
          </w:p>
        </w:tc>
        <w:tc>
          <w:tcPr>
            <w:tcW w:w="854" w:type="pct"/>
          </w:tcPr>
          <w:p w14:paraId="3D1E0CB8">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-106.95 (-167.81–-25.96)</w:t>
            </w:r>
          </w:p>
        </w:tc>
        <w:tc>
          <w:tcPr>
            <w:tcW w:w="938" w:type="pct"/>
          </w:tcPr>
          <w:p w14:paraId="65104E1A">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-106.95 (-192.75 to -24.82)</w:t>
            </w:r>
          </w:p>
        </w:tc>
        <w:tc>
          <w:tcPr>
            <w:tcW w:w="563" w:type="pct"/>
          </w:tcPr>
          <w:p w14:paraId="2F24F8C8">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0.0156</w:t>
            </w:r>
          </w:p>
        </w:tc>
      </w:tr>
      <w:tr w14:paraId="609903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4" w:type="pct"/>
          </w:tcPr>
          <w:p w14:paraId="37636DD2">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Albumin</w:t>
            </w:r>
            <w:r>
              <w:rPr>
                <w:rFonts w:hint="eastAsia" w:ascii="Times New Roman" w:hAnsi="Times New Roman" w:cs="Times New Roman"/>
                <w:sz w:val="18"/>
                <w:szCs w:val="18"/>
              </w:rPr>
              <w:t xml:space="preserve"> </w:t>
            </w:r>
            <w:r>
              <w:rPr>
                <w:rFonts w:ascii="Times New Roman" w:hAnsi="Times New Roman" w:cs="Times New Roman"/>
                <w:sz w:val="18"/>
                <w:szCs w:val="18"/>
              </w:rPr>
              <w:t>(g/L)</w:t>
            </w:r>
          </w:p>
        </w:tc>
        <w:tc>
          <w:tcPr>
            <w:tcW w:w="854" w:type="pct"/>
          </w:tcPr>
          <w:p w14:paraId="427E85ED">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27.2 (26.4–29.1)</w:t>
            </w:r>
          </w:p>
        </w:tc>
        <w:tc>
          <w:tcPr>
            <w:tcW w:w="938" w:type="pct"/>
          </w:tcPr>
          <w:p w14:paraId="4E56AA9C">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42.2 (40.3–43)</w:t>
            </w:r>
          </w:p>
        </w:tc>
        <w:tc>
          <w:tcPr>
            <w:tcW w:w="854" w:type="pct"/>
          </w:tcPr>
          <w:p w14:paraId="575BA14E">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14 (13.6–15.4)</w:t>
            </w:r>
          </w:p>
        </w:tc>
        <w:tc>
          <w:tcPr>
            <w:tcW w:w="938" w:type="pct"/>
          </w:tcPr>
          <w:p w14:paraId="25CE2583">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14 (11.25 to 16.95)</w:t>
            </w:r>
          </w:p>
        </w:tc>
        <w:tc>
          <w:tcPr>
            <w:tcW w:w="563" w:type="pct"/>
          </w:tcPr>
          <w:p w14:paraId="5BC65512">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0.0156</w:t>
            </w:r>
          </w:p>
        </w:tc>
      </w:tr>
      <w:tr w14:paraId="25C8E3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4" w:type="pct"/>
          </w:tcPr>
          <w:p w14:paraId="293771EB">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Scr (μmol/L)</w:t>
            </w:r>
          </w:p>
        </w:tc>
        <w:tc>
          <w:tcPr>
            <w:tcW w:w="854" w:type="pct"/>
          </w:tcPr>
          <w:p w14:paraId="039BABC2">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242 (160.55–256.05)</w:t>
            </w:r>
          </w:p>
        </w:tc>
        <w:tc>
          <w:tcPr>
            <w:tcW w:w="938" w:type="pct"/>
          </w:tcPr>
          <w:p w14:paraId="56444710">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84.8 (71.95–86.75)</w:t>
            </w:r>
          </w:p>
        </w:tc>
        <w:tc>
          <w:tcPr>
            <w:tcW w:w="854" w:type="pct"/>
          </w:tcPr>
          <w:p w14:paraId="3E920FFB">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-165.9 (-171.63–-72.92)</w:t>
            </w:r>
          </w:p>
        </w:tc>
        <w:tc>
          <w:tcPr>
            <w:tcW w:w="938" w:type="pct"/>
          </w:tcPr>
          <w:p w14:paraId="6E7FE0BF">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-165.9 (-214.28 to -69.32)</w:t>
            </w:r>
          </w:p>
        </w:tc>
        <w:tc>
          <w:tcPr>
            <w:tcW w:w="563" w:type="pct"/>
          </w:tcPr>
          <w:p w14:paraId="17D2D733">
            <w:pPr>
              <w:spacing w:line="360" w:lineRule="auto"/>
              <w:ind w:firstLine="180" w:firstLineChars="100"/>
              <w:jc w:val="both"/>
              <w:rPr>
                <w:rFonts w:ascii="Times New Roman" w:hAnsi="Times New Roman" w:cs="Times New Roman"/>
                <w:sz w:val="18"/>
                <w:szCs w:val="18"/>
              </w:rPr>
            </w:pPr>
            <w:r>
              <w:rPr>
                <w:rFonts w:ascii="Times New Roman" w:hAnsi="Times New Roman" w:cs="Times New Roman"/>
                <w:sz w:val="18"/>
                <w:szCs w:val="18"/>
              </w:rPr>
              <w:t>0.0156</w:t>
            </w:r>
          </w:p>
        </w:tc>
      </w:tr>
    </w:tbl>
    <w:p w14:paraId="138206EF">
      <w:pPr>
        <w:spacing w:line="480" w:lineRule="auto"/>
        <w:ind w:firstLine="220" w:firstLineChars="100"/>
        <w:jc w:val="both"/>
        <w:rPr>
          <w:rFonts w:hint="eastAsia" w:ascii="Times New Roman" w:hAnsi="Times New Roman" w:cs="Times New Roman"/>
        </w:rPr>
      </w:pPr>
    </w:p>
    <w:p w14:paraId="09FD7289">
      <w:pPr>
        <w:spacing w:line="480" w:lineRule="auto"/>
        <w:ind w:firstLine="220" w:firstLineChars="100"/>
        <w:jc w:val="both"/>
        <w:rPr>
          <w:rFonts w:hint="eastAsia" w:ascii="Times New Roman" w:hAnsi="Times New Roman" w:cs="Times New Roman"/>
        </w:rPr>
      </w:pPr>
    </w:p>
    <w:p w14:paraId="456ED5F1">
      <w:pPr>
        <w:spacing w:line="480" w:lineRule="auto"/>
        <w:ind w:firstLine="220" w:firstLineChars="100"/>
        <w:jc w:val="both"/>
        <w:rPr>
          <w:rFonts w:hint="eastAsia" w:ascii="Times New Roman" w:hAnsi="Times New Roman" w:cs="Times New Roman"/>
        </w:rPr>
      </w:pPr>
    </w:p>
    <w:p w14:paraId="7C50C4BD">
      <w:pPr>
        <w:spacing w:after="0" w:line="480" w:lineRule="auto"/>
        <w:jc w:val="both"/>
        <w:rPr>
          <w:rFonts w:hint="eastAsia" w:ascii="Times New Roman" w:hAnsi="Times New Roman" w:cs="Times New Roman"/>
        </w:rPr>
      </w:pPr>
      <w:r>
        <w:rPr>
          <w:rFonts w:hint="eastAsia" w:ascii="Times New Roman" w:hAnsi="Times New Roman" w:cs="Times New Roman"/>
        </w:rPr>
        <w:t xml:space="preserve">Paired change of </w:t>
      </w:r>
      <w:r>
        <w:rPr>
          <w:rFonts w:hint="eastAsia" w:ascii="Times New Roman" w:hAnsi="Times New Roman" w:cs="Times New Roman"/>
          <w:lang w:val="en-US" w:eastAsia="zh-CN"/>
        </w:rPr>
        <w:t xml:space="preserve">CRP、ALB、Scr and PLT </w:t>
      </w:r>
      <w:r>
        <w:rPr>
          <w:rFonts w:hint="eastAsia" w:ascii="Times New Roman" w:hAnsi="Times New Roman" w:cs="Times New Roman"/>
        </w:rPr>
        <w:t>from baseline to best response after treatment</w:t>
      </w:r>
      <w:r>
        <w:rPr>
          <w:rFonts w:hint="eastAsia" w:ascii="Times New Roman" w:hAnsi="Times New Roman" w:cs="Times New Roman"/>
          <w:lang w:val="en-US" w:eastAsia="zh-CN"/>
        </w:rPr>
        <w:t>.</w:t>
      </w:r>
      <w:r>
        <w:rPr>
          <w:rFonts w:hint="eastAsia" w:ascii="Times New Roman" w:hAnsi="Times New Roman" w:cs="Times New Roman"/>
        </w:rPr>
        <w:t xml:space="preserve"> Each line represents one patient from baseline to best response after treatment. (A) CRP, (B) ALB, (C) SCR, and (D) </w:t>
      </w:r>
      <w:r>
        <w:rPr>
          <w:rFonts w:hint="eastAsia" w:ascii="Times New Roman" w:hAnsi="Times New Roman" w:cs="Times New Roman"/>
          <w:lang w:val="en-US" w:eastAsia="zh-CN"/>
        </w:rPr>
        <w:t>PLT</w:t>
      </w:r>
      <w:bookmarkStart w:id="0" w:name="_GoBack"/>
      <w:bookmarkEnd w:id="0"/>
      <w:r>
        <w:rPr>
          <w:rFonts w:hint="eastAsia" w:ascii="Times New Roman" w:hAnsi="Times New Roman" w:cs="Times New Roman"/>
        </w:rPr>
        <w:t xml:space="preserve"> values changing from baseline to best response after treatment. </w:t>
      </w:r>
    </w:p>
    <w:p w14:paraId="1B72F380">
      <w:pPr>
        <w:spacing w:line="480" w:lineRule="auto"/>
        <w:jc w:val="both"/>
        <w:rPr>
          <w:rFonts w:ascii="Times New Roman" w:hAnsi="Times New Roman" w:cs="Times New Roman"/>
          <w:szCs w:val="22"/>
        </w:rPr>
      </w:pPr>
      <w:r>
        <w:rPr>
          <w:rFonts w:ascii="Times New Roman" w:hAnsi="Times New Roman" w:cs="Times New Roman"/>
          <w:szCs w:val="22"/>
        </w:rPr>
        <w:t xml:space="preserve"> </w:t>
      </w:r>
    </w:p>
    <w:p w14:paraId="25EAC6C4">
      <w:pPr>
        <w:spacing w:line="480" w:lineRule="auto"/>
        <w:ind w:firstLine="220" w:firstLineChars="100"/>
        <w:jc w:val="both"/>
        <w:rPr>
          <w:rFonts w:ascii="Times New Roman" w:hAnsi="Times New Roman" w:cs="Times New Roman"/>
        </w:rPr>
      </w:pPr>
      <w:r>
        <w:rPr>
          <w:rFonts w:ascii="Times New Roman" w:hAnsi="Times New Roman" w:cs="Times New Roman"/>
          <w14:ligatures w14:val="none"/>
        </w:rPr>
        <w:drawing>
          <wp:inline distT="0" distB="0" distL="0" distR="0">
            <wp:extent cx="5250815" cy="3663315"/>
            <wp:effectExtent l="0" t="0" r="6985"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60939" cy="3670496"/>
                    </a:xfrm>
                    <a:prstGeom prst="rect">
                      <a:avLst/>
                    </a:prstGeom>
                  </pic:spPr>
                </pic:pic>
              </a:graphicData>
            </a:graphic>
          </wp:inline>
        </w:drawing>
      </w:r>
    </w:p>
    <w:p w14:paraId="3AD8021A">
      <w:pPr>
        <w:spacing w:after="0" w:line="480" w:lineRule="auto"/>
        <w:jc w:val="both"/>
        <w:rPr>
          <w:rFonts w:hint="eastAsia" w:ascii="Times New Roman" w:hAnsi="Times New Roman" w:cs="Times New Roman"/>
        </w:rPr>
      </w:pPr>
      <w:r>
        <w:rPr>
          <w:rFonts w:hint="eastAsia" w:ascii="Times New Roman" w:hAnsi="Times New Roman" w:cs="Times New Roman"/>
          <w:lang w:val="en-US" w:eastAsia="zh-CN"/>
        </w:rPr>
        <w:t xml:space="preserve">Figure 1. </w:t>
      </w:r>
      <w:r>
        <w:rPr>
          <w:rFonts w:hint="eastAsia" w:ascii="Times New Roman" w:hAnsi="Times New Roman" w:cs="Times New Roman"/>
        </w:rPr>
        <w:t xml:space="preserve">Paired change of </w:t>
      </w:r>
      <w:r>
        <w:rPr>
          <w:rFonts w:ascii="Times New Roman" w:hAnsi="Times New Roman" w:cs="Times New Roman"/>
        </w:rPr>
        <w:t>Laboratory</w:t>
      </w:r>
      <w:r>
        <w:rPr>
          <w:rFonts w:hint="eastAsia" w:ascii="Times New Roman" w:hAnsi="Times New Roman" w:cs="Times New Roman"/>
        </w:rPr>
        <w:t xml:space="preserve"> parameters from baseline to best response after treatment. Each line represents one patient from baseline to best response after treatment. (A) CRP, (B) ALB, C-reactive protein, (C) PLT, and (D) SCR values changing from baseline to best response after treatment. </w:t>
      </w:r>
    </w:p>
    <w:p w14:paraId="1DCE0363">
      <w:pPr>
        <w:spacing w:after="0" w:line="480" w:lineRule="auto"/>
        <w:jc w:val="both"/>
        <w:rPr>
          <w:rFonts w:hint="eastAsia" w:ascii="Times New Roman" w:hAnsi="Times New Roman" w:cs="Times New Roman"/>
        </w:rPr>
      </w:pPr>
    </w:p>
    <w:p w14:paraId="0BD5826E">
      <w:pPr>
        <w:spacing w:line="480" w:lineRule="auto"/>
        <w:jc w:val="both"/>
        <w:rPr>
          <w:rFonts w:hint="eastAsia" w:ascii="Times New Roman" w:hAnsi="Times New Roman" w:cs="Times New Roman"/>
        </w:rPr>
      </w:pPr>
      <w:r>
        <w:rPr>
          <w:rFonts w:hint="eastAsia" w:ascii="Times New Roman" w:hAnsi="Times New Roman" w:cs="Times New Roman"/>
        </w:rPr>
        <w:t>Pathological Findings in a Patient with Castleman Disease and Renal Involvement</w:t>
      </w:r>
    </w:p>
    <w:p w14:paraId="06E85CCD">
      <w:pPr>
        <w:spacing w:line="360" w:lineRule="auto"/>
        <w:jc w:val="both"/>
        <w:rPr>
          <w:rFonts w:hint="eastAsia" w:ascii="Times New Roman" w:hAnsi="Times New Roman" w:cs="Times New Roman"/>
        </w:rPr>
      </w:pPr>
      <w:r>
        <w:rPr>
          <w:rFonts w:hint="eastAsia" w:ascii="Times New Roman" w:hAnsi="Times New Roman" w:cs="Times New Roman"/>
        </w:rPr>
        <w:t>Lymph Node (Panel A, H&amp;E staining): Left axillary lymph node biopsy showed disorganized architecture, atrophic germinal centers surrounded by concentric lymphocyte layers (onion-skin pattern), and prominent hyalinized interfollicular vessels, consistent with mixed-type</w:t>
      </w:r>
      <w:r>
        <w:rPr>
          <w:rFonts w:hint="eastAsia" w:ascii="Times New Roman" w:hAnsi="Times New Roman" w:cs="Times New Roman"/>
          <w:lang w:val="en-US" w:eastAsia="zh-CN"/>
        </w:rPr>
        <w:t xml:space="preserve"> </w:t>
      </w:r>
      <w:r>
        <w:rPr>
          <w:rFonts w:hint="eastAsia" w:ascii="Times New Roman" w:hAnsi="Times New Roman" w:cs="Times New Roman"/>
        </w:rPr>
        <w:t>Castleman disease (predominantly hyaline vascular pattern). Immunohistochemistry confirmed CD3 (T zone ++), CD20 (+), CD21 (FDC meshwork +), Bcl2 (++), and Ki67 (5–10%).</w:t>
      </w:r>
    </w:p>
    <w:p w14:paraId="6247A8FF">
      <w:pPr>
        <w:spacing w:line="360" w:lineRule="auto"/>
        <w:jc w:val="both"/>
        <w:rPr>
          <w:rFonts w:ascii="Times New Roman" w:hAnsi="Times New Roman" w:cs="Times New Roman"/>
        </w:rPr>
      </w:pPr>
      <w:r>
        <w:rPr>
          <w:rFonts w:hint="eastAsia" w:ascii="Times New Roman" w:hAnsi="Times New Roman" w:cs="Times New Roman"/>
        </w:rPr>
        <w:t>Renal Biopsy (Panels B, C, D): Light microscopy (PAS/PASM-Masson staining) demonstrated glomerular microangiopathy with mesangial proliferation, endothelial swelling, glomerular basement membrane (GBM) thickening, and segmental double contour formation. Tubular degeneration and focal interstitial fibrosis were also noted, with C4d deposition along capillary walls. Electron microscopy (Panel D) confirmed diffuse GBM lamina rara interna widening, podocyte foot process fusion, and endothelial swelling, with no electron-dense immune deposits.</w:t>
      </w:r>
    </w:p>
    <w:p w14:paraId="07909A63">
      <w:pPr>
        <w:pStyle w:val="2"/>
        <w:keepNext w:val="0"/>
        <w:keepLines w:val="0"/>
        <w:widowControl/>
        <w:suppressLineNumbers w:val="0"/>
        <w:rPr>
          <w:rFonts w:hint="eastAsia" w:ascii="Times New Roman" w:hAnsi="Times New Roman" w:cs="Times New Roman" w:eastAsiaTheme="minorEastAsia"/>
          <w:lang w:eastAsia="zh-CN"/>
        </w:rPr>
      </w:pPr>
      <w:r>
        <w:rPr>
          <w:sz w:val="24"/>
        </w:rPr>
        <w:drawing>
          <wp:inline distT="0" distB="0" distL="114300" distR="114300">
            <wp:extent cx="5274310" cy="3707130"/>
            <wp:effectExtent l="0" t="0" r="2540" b="7620"/>
            <wp:docPr id="8" name="图片 8" descr="图片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_画板 1"/>
                    <pic:cNvPicPr>
                      <a:picLocks noChangeAspect="1"/>
                    </pic:cNvPicPr>
                  </pic:nvPicPr>
                  <pic:blipFill>
                    <a:blip r:embed="rId7"/>
                    <a:stretch>
                      <a:fillRect/>
                    </a:stretch>
                  </pic:blipFill>
                  <pic:spPr>
                    <a:xfrm>
                      <a:off x="0" y="0"/>
                      <a:ext cx="5274310" cy="3707130"/>
                    </a:xfrm>
                    <a:prstGeom prst="rect">
                      <a:avLst/>
                    </a:prstGeom>
                  </pic:spPr>
                </pic:pic>
              </a:graphicData>
            </a:graphic>
          </wp:inline>
        </w:drawing>
      </w:r>
      <w:r>
        <w:rPr>
          <w:sz w:val="24"/>
        </w:rPr>
        <mc:AlternateContent>
          <mc:Choice Requires="wps">
            <w:drawing>
              <wp:anchor distT="0" distB="0" distL="114300" distR="114300" simplePos="0" relativeHeight="251659264" behindDoc="0" locked="0" layoutInCell="1" allowOverlap="1">
                <wp:simplePos x="0" y="0"/>
                <wp:positionH relativeFrom="column">
                  <wp:posOffset>4478655</wp:posOffset>
                </wp:positionH>
                <wp:positionV relativeFrom="paragraph">
                  <wp:posOffset>572135</wp:posOffset>
                </wp:positionV>
                <wp:extent cx="165100" cy="75565"/>
                <wp:effectExtent l="8890" t="15240" r="16510" b="23495"/>
                <wp:wrapNone/>
                <wp:docPr id="2" name="左箭头 2"/>
                <wp:cNvGraphicFramePr/>
                <a:graphic xmlns:a="http://schemas.openxmlformats.org/drawingml/2006/main">
                  <a:graphicData uri="http://schemas.microsoft.com/office/word/2010/wordprocessingShape">
                    <wps:wsp>
                      <wps:cNvSpPr/>
                      <wps:spPr>
                        <a:xfrm>
                          <a:off x="5608955" y="4389755"/>
                          <a:ext cx="165100" cy="75565"/>
                        </a:xfrm>
                        <a:prstGeom prst="leftArrow">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352.65pt;margin-top:45.05pt;height:5.95pt;width:13pt;z-index:251659264;v-text-anchor:middle;mso-width-relative:page;mso-height-relative:page;" filled="f" stroked="t" coordsize="21600,21600" o:gfxdata="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bfUQ92AAAAAoBAAAPAAAAAAAAAAEAIAAAACIAAABk&#10;cnMvZG93bnJldi54bWxQSwECFAAUAAAACACHTuJAgvqDNngCAADdBAAADgAAAAAAAAABACAAAAAn&#10;AQAAZHJzL2Uyb0RvYy54bWxQSwUGAAAAAAYABgBZAQAAEQYAAAAA&#10;" adj="4943,5400">
                <v:fill on="f" focussize="0,0"/>
                <v:stroke weight="1pt" color="#000000 [3213]" miterlimit="8" joinstyle="miter"/>
                <v:imagedata o:title=""/>
                <o:lock v:ext="edit" aspectratio="f"/>
              </v:shape>
            </w:pict>
          </mc:Fallback>
        </mc:AlternateContent>
      </w:r>
    </w:p>
    <w:p w14:paraId="49C6BC87">
      <w:pPr>
        <w:spacing w:line="360" w:lineRule="auto"/>
        <w:jc w:val="both"/>
        <w:rPr>
          <w:rFonts w:hint="eastAsia" w:ascii="Times New Roman" w:hAnsi="Times New Roman" w:cs="Times New Roman"/>
        </w:rPr>
      </w:pPr>
      <w:r>
        <w:rPr>
          <w:rFonts w:hint="eastAsia" w:ascii="Times New Roman" w:hAnsi="Times New Roman" w:cs="Times New Roman"/>
        </w:rPr>
        <w:t xml:space="preserve">Figure </w:t>
      </w:r>
      <w:r>
        <w:rPr>
          <w:rFonts w:hint="eastAsia" w:ascii="Times New Roman" w:hAnsi="Times New Roman" w:cs="Times New Roman"/>
          <w:lang w:val="en-US" w:eastAsia="zh-CN"/>
        </w:rPr>
        <w:t>2</w:t>
      </w:r>
      <w:r>
        <w:rPr>
          <w:rFonts w:hint="eastAsia" w:ascii="Times New Roman" w:hAnsi="Times New Roman" w:cs="Times New Roman"/>
        </w:rPr>
        <w:t>. Representative histopathological and ultrastructural findings in Castleman disease with renal involvement</w:t>
      </w:r>
    </w:p>
    <w:p w14:paraId="5D994BCC">
      <w:pPr>
        <w:spacing w:line="360" w:lineRule="auto"/>
        <w:jc w:val="both"/>
        <w:rPr>
          <w:rFonts w:hint="eastAsia" w:ascii="Times New Roman" w:hAnsi="Times New Roman" w:cs="Times New Roman"/>
        </w:rPr>
      </w:pPr>
      <w:r>
        <w:rPr>
          <w:rFonts w:hint="eastAsia" w:ascii="Times New Roman" w:hAnsi="Times New Roman" w:cs="Times New Roman"/>
        </w:rPr>
        <w:t>Panel A (Lymph node, Hematoxylin &amp; Eosin staining</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×400</w:t>
      </w:r>
      <w:r>
        <w:rPr>
          <w:rFonts w:hint="eastAsia" w:ascii="Times New Roman" w:hAnsi="Times New Roman" w:cs="Times New Roman"/>
        </w:rPr>
        <w:t>): Shows the characteristic "onion-skin" pattern of hyaline vascular-type Castleman disease, with atrophic germinal centers surrounded by concentric layers of lymphocytes and prominent hyalinized small vessels penetrating the follicle.</w:t>
      </w:r>
      <w:r>
        <w:rPr>
          <w:rFonts w:hint="eastAsia" w:ascii="Times New Roman" w:hAnsi="Times New Roman" w:cs="Times New Roman"/>
          <w:lang w:val="en-US" w:eastAsia="zh-CN"/>
        </w:rPr>
        <w:t xml:space="preserve"> </w:t>
      </w:r>
      <w:r>
        <w:rPr>
          <w:rFonts w:hint="eastAsia" w:ascii="Times New Roman" w:hAnsi="Times New Roman" w:cs="Times New Roman"/>
        </w:rPr>
        <w:t xml:space="preserve">Scale bar = </w:t>
      </w:r>
      <w:r>
        <w:rPr>
          <w:rFonts w:hint="eastAsia" w:ascii="Times New Roman" w:hAnsi="Times New Roman" w:cs="Times New Roman"/>
          <w:lang w:val="en-US" w:eastAsia="zh-CN"/>
        </w:rPr>
        <w:t>10</w:t>
      </w:r>
      <w:r>
        <w:rPr>
          <w:rFonts w:hint="eastAsia" w:ascii="Times New Roman" w:hAnsi="Times New Roman" w:cs="Times New Roman"/>
        </w:rPr>
        <w:t>0μm.</w:t>
      </w:r>
    </w:p>
    <w:p w14:paraId="13D1371F">
      <w:pPr>
        <w:spacing w:line="360" w:lineRule="auto"/>
        <w:jc w:val="both"/>
        <w:rPr>
          <w:rFonts w:hint="eastAsia" w:ascii="Times New Roman" w:hAnsi="Times New Roman" w:cs="Times New Roman"/>
        </w:rPr>
      </w:pPr>
      <w:r>
        <w:rPr>
          <w:rFonts w:hint="eastAsia" w:ascii="Times New Roman" w:hAnsi="Times New Roman" w:cs="Times New Roman"/>
        </w:rPr>
        <w:t>Panel B (</w:t>
      </w:r>
      <w:r>
        <w:rPr>
          <w:rFonts w:hint="eastAsia" w:ascii="Times New Roman" w:hAnsi="Times New Roman" w:cs="Times New Roman"/>
          <w:lang w:val="en-US" w:eastAsia="zh-CN"/>
        </w:rPr>
        <w:t>Kidney</w:t>
      </w:r>
      <w:r>
        <w:rPr>
          <w:rFonts w:hint="eastAsia" w:ascii="Times New Roman" w:hAnsi="Times New Roman" w:cs="Times New Roman"/>
        </w:rPr>
        <w:t xml:space="preserve"> biopsy, Periodic Acid-Schiff staining</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×400</w:t>
      </w:r>
      <w:r>
        <w:rPr>
          <w:rFonts w:hint="eastAsia" w:ascii="Times New Roman" w:hAnsi="Times New Roman" w:cs="Times New Roman"/>
        </w:rPr>
        <w:t xml:space="preserve">): Demonstrates glomerular changes consistent with glomerular microangiopathy, including endothelial </w:t>
      </w:r>
      <w:r>
        <w:rPr>
          <w:rFonts w:hint="eastAsia" w:ascii="Times New Roman" w:hAnsi="Times New Roman" w:cs="Times New Roman"/>
          <w:lang w:val="en-US" w:eastAsia="zh-CN"/>
        </w:rPr>
        <w:t xml:space="preserve">cell </w:t>
      </w:r>
      <w:r>
        <w:rPr>
          <w:rFonts w:hint="eastAsia" w:ascii="Times New Roman" w:hAnsi="Times New Roman" w:cs="Times New Roman"/>
        </w:rPr>
        <w:t>swelling</w:t>
      </w:r>
      <w:r>
        <w:rPr>
          <w:rFonts w:hint="eastAsia" w:ascii="Times New Roman" w:hAnsi="Times New Roman" w:cs="Times New Roman"/>
          <w:lang w:val="en-US" w:eastAsia="zh-CN"/>
        </w:rPr>
        <w:t xml:space="preserve"> and proliferation (black arrow)</w:t>
      </w:r>
      <w:r>
        <w:rPr>
          <w:rFonts w:hint="eastAsia" w:ascii="Times New Roman" w:hAnsi="Times New Roman" w:cs="Times New Roman"/>
        </w:rPr>
        <w:t xml:space="preserve">, </w:t>
      </w:r>
      <w:r>
        <w:rPr>
          <w:rFonts w:hint="eastAsia" w:ascii="Times New Roman" w:hAnsi="Times New Roman" w:cs="Times New Roman"/>
          <w:lang w:val="en-US" w:eastAsia="zh-CN"/>
        </w:rPr>
        <w:t>subendothelial edema (red arrow)</w:t>
      </w:r>
      <w:r>
        <w:rPr>
          <w:rFonts w:hint="eastAsia" w:ascii="Times New Roman" w:hAnsi="Times New Roman" w:cs="Times New Roman"/>
        </w:rPr>
        <w:t>.</w:t>
      </w:r>
      <w:r>
        <w:rPr>
          <w:rFonts w:hint="eastAsia" w:ascii="Times New Roman" w:hAnsi="Times New Roman" w:cs="Times New Roman"/>
          <w:lang w:val="en-US" w:eastAsia="zh-CN"/>
        </w:rPr>
        <w:t xml:space="preserve"> </w:t>
      </w:r>
      <w:r>
        <w:rPr>
          <w:rFonts w:hint="eastAsia" w:ascii="Times New Roman" w:hAnsi="Times New Roman" w:cs="Times New Roman"/>
        </w:rPr>
        <w:t xml:space="preserve">Scale bar = </w:t>
      </w:r>
      <w:r>
        <w:rPr>
          <w:rFonts w:hint="eastAsia" w:ascii="Times New Roman" w:hAnsi="Times New Roman" w:cs="Times New Roman"/>
          <w:lang w:val="en-US" w:eastAsia="zh-CN"/>
        </w:rPr>
        <w:t>5</w:t>
      </w:r>
      <w:r>
        <w:rPr>
          <w:rFonts w:hint="eastAsia" w:ascii="Times New Roman" w:hAnsi="Times New Roman" w:cs="Times New Roman"/>
        </w:rPr>
        <w:t>0μm.</w:t>
      </w:r>
    </w:p>
    <w:p w14:paraId="4D3C7D64">
      <w:pPr>
        <w:spacing w:line="360" w:lineRule="auto"/>
        <w:jc w:val="both"/>
        <w:rPr>
          <w:rFonts w:hint="eastAsia" w:ascii="Times New Roman" w:hAnsi="Times New Roman" w:cs="Times New Roman"/>
        </w:rPr>
      </w:pPr>
      <w:r>
        <w:rPr>
          <w:rFonts w:hint="eastAsia" w:ascii="Times New Roman" w:hAnsi="Times New Roman" w:cs="Times New Roman"/>
        </w:rPr>
        <w:t>Panel C (</w:t>
      </w:r>
      <w:r>
        <w:rPr>
          <w:rFonts w:hint="eastAsia" w:ascii="Times New Roman" w:hAnsi="Times New Roman" w:cs="Times New Roman"/>
          <w:lang w:val="en-US" w:eastAsia="zh-CN"/>
        </w:rPr>
        <w:t>Kidney</w:t>
      </w:r>
      <w:r>
        <w:rPr>
          <w:rFonts w:hint="eastAsia" w:ascii="Times New Roman" w:hAnsi="Times New Roman" w:cs="Times New Roman"/>
        </w:rPr>
        <w:t xml:space="preserve"> biopsy, PASM</w:t>
      </w:r>
      <w:r>
        <w:rPr>
          <w:rFonts w:hint="eastAsia" w:ascii="Times New Roman" w:hAnsi="Times New Roman" w:cs="Times New Roman"/>
          <w:lang w:val="en-US" w:eastAsia="zh-CN"/>
        </w:rPr>
        <w:t>+</w:t>
      </w:r>
      <w:r>
        <w:rPr>
          <w:rFonts w:hint="eastAsia" w:ascii="Times New Roman" w:hAnsi="Times New Roman" w:cs="Times New Roman"/>
        </w:rPr>
        <w:t>Masson trichrome staining×</w:t>
      </w:r>
      <w:r>
        <w:rPr>
          <w:rFonts w:hint="eastAsia" w:ascii="Times New Roman" w:hAnsi="Times New Roman" w:cs="Times New Roman"/>
          <w:lang w:val="en-US" w:eastAsia="zh-CN"/>
        </w:rPr>
        <w:t>4</w:t>
      </w:r>
      <w:r>
        <w:rPr>
          <w:rFonts w:hint="eastAsia" w:ascii="Times New Roman" w:hAnsi="Times New Roman" w:cs="Times New Roman"/>
        </w:rPr>
        <w:t xml:space="preserve">00): Highlights segmental double contour formation of the </w:t>
      </w:r>
      <w:r>
        <w:rPr>
          <w:rFonts w:hint="eastAsia" w:ascii="Times New Roman" w:hAnsi="Times New Roman" w:cs="Times New Roman"/>
          <w:lang w:val="en-US" w:eastAsia="zh-CN"/>
        </w:rPr>
        <w:t>glomerular capillary wall</w:t>
      </w:r>
      <w:r>
        <w:rPr>
          <w:rFonts w:hint="eastAsia" w:ascii="Times New Roman" w:hAnsi="Times New Roman" w:cs="Times New Roman"/>
        </w:rPr>
        <w:t xml:space="preserve"> (a hallmark of </w:t>
      </w:r>
      <w:r>
        <w:rPr>
          <w:rFonts w:hint="eastAsia" w:ascii="Times New Roman" w:hAnsi="Times New Roman" w:cs="Times New Roman"/>
          <w:lang w:val="en-US" w:eastAsia="zh-CN"/>
        </w:rPr>
        <w:t xml:space="preserve">chronic change of </w:t>
      </w:r>
      <w:r>
        <w:rPr>
          <w:rFonts w:hint="eastAsia" w:ascii="Times New Roman" w:hAnsi="Times New Roman" w:cs="Times New Roman"/>
        </w:rPr>
        <w:t>endothelial injury) and mild mesangial matrix expansion.</w:t>
      </w:r>
      <w:r>
        <w:rPr>
          <w:rFonts w:hint="eastAsia" w:ascii="Times New Roman" w:hAnsi="Times New Roman" w:cs="Times New Roman"/>
          <w:lang w:val="en-US" w:eastAsia="zh-CN"/>
        </w:rPr>
        <w:t xml:space="preserve"> </w:t>
      </w:r>
      <w:r>
        <w:rPr>
          <w:rFonts w:hint="eastAsia" w:ascii="Times New Roman" w:hAnsi="Times New Roman" w:cs="Times New Roman"/>
        </w:rPr>
        <w:t xml:space="preserve">Scale bar = </w:t>
      </w:r>
      <w:r>
        <w:rPr>
          <w:rFonts w:hint="eastAsia" w:ascii="Times New Roman" w:hAnsi="Times New Roman" w:cs="Times New Roman"/>
          <w:lang w:val="en-US" w:eastAsia="zh-CN"/>
        </w:rPr>
        <w:t>5</w:t>
      </w:r>
      <w:r>
        <w:rPr>
          <w:rFonts w:hint="eastAsia" w:ascii="Times New Roman" w:hAnsi="Times New Roman" w:cs="Times New Roman"/>
        </w:rPr>
        <w:t>0μm.</w:t>
      </w:r>
    </w:p>
    <w:p w14:paraId="6F4654D8">
      <w:pPr>
        <w:spacing w:line="360" w:lineRule="auto"/>
        <w:jc w:val="both"/>
        <w:rPr>
          <w:rFonts w:ascii="Times New Roman" w:hAnsi="Times New Roman" w:cs="Times New Roman"/>
        </w:rPr>
      </w:pPr>
      <w:r>
        <w:rPr>
          <w:rFonts w:hint="eastAsia" w:ascii="Times New Roman" w:hAnsi="Times New Roman" w:cs="Times New Roman"/>
        </w:rPr>
        <w:t>Panel D (</w:t>
      </w:r>
      <w:r>
        <w:rPr>
          <w:rFonts w:hint="eastAsia" w:ascii="Times New Roman" w:hAnsi="Times New Roman" w:cs="Times New Roman"/>
          <w:lang w:val="en-US" w:eastAsia="zh-CN"/>
        </w:rPr>
        <w:t>Kidney</w:t>
      </w:r>
      <w:r>
        <w:rPr>
          <w:rFonts w:hint="eastAsia" w:ascii="Times New Roman" w:hAnsi="Times New Roman" w:cs="Times New Roman"/>
        </w:rPr>
        <w:t xml:space="preserve"> electron microscopy): Confirms diffuse widening of the lamina rara interna of the glomerular basement membrane, extensive fusion of podocyte foot processes, and endothelial cell swelling, with no electron-dense immune deposits detected. Scale bar =</w:t>
      </w:r>
      <w:r>
        <w:rPr>
          <w:rFonts w:hint="eastAsia" w:ascii="Times New Roman" w:hAnsi="Times New Roman" w:cs="Times New Roman"/>
          <w:lang w:val="en-US" w:eastAsia="zh-CN"/>
        </w:rPr>
        <w:t>5</w:t>
      </w:r>
      <w:r>
        <w:rPr>
          <w:rFonts w:hint="eastAsia" w:ascii="Times New Roman" w:hAnsi="Times New Roman" w:cs="Times New Roman"/>
        </w:rPr>
        <w:t>μm.</w:t>
      </w:r>
    </w:p>
    <w:p w14:paraId="6A936265">
      <w:pPr>
        <w:rPr>
          <w:rFonts w:ascii="Times New Roman" w:hAnsi="Times New Roman" w:cs="Times New Roman"/>
          <w:szCs w:val="2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B779DB"/>
    <w:rsid w:val="28B779DB"/>
    <w:rsid w:val="48907C0D"/>
    <w:rsid w:val="5AFF46D1"/>
    <w:rsid w:val="6B5C5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542</Words>
  <Characters>3470</Characters>
  <Lines>0</Lines>
  <Paragraphs>0</Paragraphs>
  <TotalTime>0</TotalTime>
  <ScaleCrop>false</ScaleCrop>
  <LinksUpToDate>false</LinksUpToDate>
  <CharactersWithSpaces>3965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2026-04-03T11:30:00Z</dcterms:created>
  <dc:creator>唐博</dc:creator>
  <cp:lastModifiedBy>唐博</cp:lastModifiedBy>
  <dcterms:modified xsi:type="dcterms:W3CDTF">2026-04-07T08:30:57Z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64FB9D89321F4824ACFB594FD07E41BC_11</vt:lpwstr>
  </property>
  <property fmtid="{D5CDD505-2E9C-101B-9397-08002B2CF9AE}" pid="4" name="KSOTemplateDocerSaveRecord">
    <vt:lpwstr>eyJoZGlkIjoiNmUyY2M2YTk4NWIyZjA3OWZmNDA1ZTI0ZDIyOTMwZWMiLCJ1c2VySWQiOiIxNzY3MDMwMjczIn0=</vt:lpwstr>
  </property>
</Properties>
</file>