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ind w:firstLine="1760" w:firstLineChars="800"/>
        <w:jc w:val="left"/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22"/>
          <w:szCs w:val="22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22"/>
          <w:szCs w:val="22"/>
          <w:u w:val="none"/>
          <w:shd w:val="clear" w:fill="FFFFFF"/>
        </w:rPr>
        <w:t xml:space="preserve"> Search strategy used in PubMed database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Number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Search items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observational study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.pt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cross-sectional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.pt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cohort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.ti,ab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case–control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.ti,ab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controlled trial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.ti,ab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1 or 2–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Parkinson's Disease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.ti,ab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primary Parkinson's disease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.ti,ab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or 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Diffusion tensor imaging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(DTI)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.ti,ab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ractional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anisotrop(FA)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.ti,ab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Ap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parent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diffusion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coebficient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DC)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.ti,ab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ean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diffusion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coefficient(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eastAsia="zh-CN"/>
              </w:rPr>
              <w:t>MD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)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.ti,ab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or 1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>–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6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an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d 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14</w:t>
            </w:r>
          </w:p>
        </w:tc>
      </w:tr>
    </w:tbl>
    <w:p>
      <w:pPr>
        <w:spacing w:beforeLines="0" w:afterLines="0"/>
        <w:jc w:val="left"/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22"/>
          <w:szCs w:val="22"/>
          <w:u w:val="none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03A27"/>
    <w:rsid w:val="01A64890"/>
    <w:rsid w:val="1FB03A27"/>
    <w:rsid w:val="5130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2020-07-15T11:54:00Z</dcterms:created>
  <dc:creator>21</dc:creator>
  <cp:lastModifiedBy>21</cp:lastModifiedBy>
  <dcterms:modified xsi:type="dcterms:W3CDTF">2020-10-06T14:43:38Z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