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AA3E4">
      <w:pPr>
        <w:outlineLvl w:val="0"/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</w:pPr>
      <w:bookmarkStart w:id="0" w:name="_Toc239156948"/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 xml:space="preserve">Table S2. Univariate and multivariate Cox regression analysis of </w:t>
      </w:r>
      <w:r>
        <w:rPr>
          <w:rFonts w:hint="eastAsia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>PF</w:t>
      </w:r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>S in the whole cohort.</w:t>
      </w:r>
      <w:bookmarkEnd w:id="0"/>
    </w:p>
    <w:tbl>
      <w:tblPr>
        <w:tblStyle w:val="2"/>
        <w:tblW w:w="475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8"/>
        <w:gridCol w:w="2386"/>
        <w:gridCol w:w="1102"/>
        <w:gridCol w:w="230"/>
        <w:gridCol w:w="2449"/>
        <w:gridCol w:w="1070"/>
      </w:tblGrid>
      <w:tr w14:paraId="06511528">
        <w:trPr>
          <w:trHeight w:val="352" w:hRule="atLeast"/>
        </w:trPr>
        <w:tc>
          <w:tcPr>
            <w:tcW w:w="144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836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715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42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Univariate Cox regression</w:t>
            </w:r>
          </w:p>
        </w:tc>
        <w:tc>
          <w:tcPr>
            <w:tcW w:w="1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080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0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F52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Multivariate Cox regression</w:t>
            </w:r>
          </w:p>
        </w:tc>
      </w:tr>
      <w:tr w14:paraId="4B217A4C">
        <w:trPr>
          <w:trHeight w:val="352" w:hRule="atLeast"/>
        </w:trPr>
        <w:tc>
          <w:tcPr>
            <w:tcW w:w="1440" w:type="pct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388933"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2CF19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Hazard ratio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CI)</w:t>
            </w:r>
          </w:p>
        </w:tc>
        <w:tc>
          <w:tcPr>
            <w:tcW w:w="542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83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93D20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08BCA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Hazard ratio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(95% CI)</w:t>
            </w:r>
          </w:p>
        </w:tc>
        <w:tc>
          <w:tcPr>
            <w:tcW w:w="526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A072FE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value</w:t>
            </w:r>
          </w:p>
        </w:tc>
      </w:tr>
      <w:tr w14:paraId="458E1513">
        <w:trPr>
          <w:trHeight w:val="352" w:hRule="atLeast"/>
        </w:trPr>
        <w:tc>
          <w:tcPr>
            <w:tcW w:w="144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09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Age, median (IQR), y</w:t>
            </w:r>
          </w:p>
        </w:tc>
        <w:tc>
          <w:tcPr>
            <w:tcW w:w="11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FB4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0.998 (0.984 - 1.012)</w:t>
            </w:r>
          </w:p>
        </w:tc>
        <w:tc>
          <w:tcPr>
            <w:tcW w:w="5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0F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0.76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1254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773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(0.988 - 1.015)</w:t>
            </w:r>
          </w:p>
        </w:tc>
        <w:tc>
          <w:tcPr>
            <w:tcW w:w="5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72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 w14:paraId="27484687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85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Sex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CC47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121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911C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9CE3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3F7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A4C0FE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583A4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1D0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AFF4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6886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801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7922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3606B3">
        <w:trPr>
          <w:trHeight w:val="90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146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F9A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- 2.1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DB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95B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4E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1.251 (0.82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- 1.906)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43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FE5C0F0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53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No. of metastatic organs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BF9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55CF5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3F54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E9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F8E0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84C224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CBC9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Single organ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5A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38654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3A3B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969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715B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C7685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84C6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Multiple organs (≥ 2)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61F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(1.1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- 2.0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D8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7B57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39C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(0.6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- 2.2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FC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C0E28F5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52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Loco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regional recurrence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805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B0D1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FE20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0CA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6734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04E10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2467B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C4B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DF61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76CF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6E2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4F26F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FC27F2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7BE77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es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14A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0.996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- 2.2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D1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2CC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6C6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- 2.0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ED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6E23BE9D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DE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40404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 category in TNM-9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393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C571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3AE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C4F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5E0E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90106E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D7A1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M1a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C3C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B2A36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29EDA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7AE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91FC0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F2384E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A126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M1b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961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2.1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(1.564 - 2.917)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49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3FA3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260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(1.2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- 2.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59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</w:t>
            </w:r>
          </w:p>
        </w:tc>
      </w:tr>
      <w:tr w14:paraId="3A31679B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92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Bone involvement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400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35F0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C1EB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3AF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B3BCF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C0A8A5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ED3EC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B4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019F4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61A68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233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5120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DE135F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A194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87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1.274 (0.933 - 1.739)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32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0.127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D50A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40C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- 1.43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F2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145C457A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69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Liver involvement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1E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08DB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A510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AB4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8E3C4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EC4FA8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CC74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82D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83E9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2B24B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48A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AB5D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942A24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267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AA2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1.195 (0.868 - 1.645)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FA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0.274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4DA5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8E6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(0.4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- 1.36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D7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</w:tr>
      <w:tr w14:paraId="5DA31F3A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604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Lung involvement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DA6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5D93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DB4C5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354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E7A96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E711B2">
        <w:trPr>
          <w:trHeight w:val="90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64FA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25B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86AC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B3E56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0A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C6607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26D1AC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26841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A4E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0.829 (0.609 - 1.129)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EE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0.234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D41BE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F46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(0.3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- 1.1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B0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5A3F8188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55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Distant LN involvement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C14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548E6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72A34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A10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C125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39889C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377B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F16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BFF3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E1DC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D13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E2BC4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68C753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44C19">
            <w:pPr>
              <w:keepNext w:val="0"/>
              <w:keepLines w:val="0"/>
              <w:widowControl/>
              <w:suppressLineNumbers w:val="0"/>
              <w:ind w:left="210" w:left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857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1.452 (1.048 - 2.013)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58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0.025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DB3FD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59B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(0.63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- 1.80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E0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 w14:paraId="3ACD0424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06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Times New Roman Regular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DFI (months)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383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C437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133F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6DF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CA52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0F9DDC">
        <w:trPr>
          <w:trHeight w:val="352" w:hRule="atLeast"/>
        </w:trPr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9599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474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1FA45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D5D51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938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Reference 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ADEF7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8241E">
        <w:trPr>
          <w:trHeight w:val="367" w:hRule="atLeast"/>
        </w:trPr>
        <w:tc>
          <w:tcPr>
            <w:tcW w:w="144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AFBBD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</w:t>
            </w: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A4324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1.762 (1.288 - 2.409)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9873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1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BFD0D2"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0A9D5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- 2.5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83C8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 0.001</w:t>
            </w:r>
          </w:p>
        </w:tc>
      </w:tr>
    </w:tbl>
    <w:p w14:paraId="4721FEFA">
      <w:pP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 Italic" w:hAnsi="Times New Roman Italic" w:eastAsia="宋体" w:cs="Times New Roman Italic"/>
          <w:b w:val="0"/>
          <w:bCs/>
          <w:i/>
          <w:iCs/>
          <w:kern w:val="2"/>
          <w:sz w:val="24"/>
          <w:szCs w:val="24"/>
          <w:lang w:val="en-US" w:eastAsia="zh-CN" w:bidi="ar-SA"/>
        </w:rPr>
        <w:t>Abbreviations</w:t>
      </w:r>
      <w:r>
        <w:rPr>
          <w:rFonts w:hint="default" w:ascii="Times New Roman Regular" w:hAnsi="Times New Roman Regular" w:eastAsia="宋体" w:cs="Times New Roman Regular"/>
          <w:b w:val="0"/>
          <w:bCs/>
          <w:kern w:val="2"/>
          <w:sz w:val="24"/>
          <w:szCs w:val="24"/>
          <w:lang w:val="en-US" w:eastAsia="zh-CN" w:bidi="ar-SA"/>
        </w:rPr>
        <w:t>: CI, confidence interval; DFI, disease-free interval; LN, lymph node; PFS, progression free survival.</w:t>
      </w:r>
    </w:p>
    <w:p w14:paraId="4B8128C4">
      <w:bookmarkStart w:id="1" w:name="_GoBack"/>
      <w:bookmarkEnd w:id="1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F396A"/>
    <w:rsid w:val="63DF396A"/>
    <w:rsid w:val="7B52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2026-03-25T23:25:00Z</dcterms:created>
  <dc:creator>赵大喜</dc:creator>
  <cp:lastModifiedBy>赵大喜</cp:lastModifiedBy>
  <dcterms:modified xsi:type="dcterms:W3CDTF">2026-03-25T15:35:32Z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FD162D4C288B5D3FE08DC369B9ABF915_41</vt:lpwstr>
  </property>
</Properties>
</file>