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DF541" w14:textId="77777777" w:rsidR="0028662C" w:rsidRDefault="0028662C" w:rsidP="0028662C">
      <w:r>
        <w:rPr>
          <w:b/>
        </w:rPr>
        <w:t>Appendix A. Citation map (key statements → supporting references)</w:t>
      </w:r>
    </w:p>
    <w:tbl>
      <w:tblPr>
        <w:tblW w:w="0" w:type="auto"/>
        <w:tblLook w:val="04A0" w:firstRow="1" w:lastRow="0" w:firstColumn="1" w:lastColumn="0" w:noHBand="0" w:noVBand="1"/>
      </w:tblPr>
      <w:tblGrid>
        <w:gridCol w:w="4320"/>
        <w:gridCol w:w="4320"/>
      </w:tblGrid>
      <w:tr w:rsidR="0028662C" w14:paraId="6877EE61" w14:textId="77777777" w:rsidTr="007163C0">
        <w:tc>
          <w:tcPr>
            <w:tcW w:w="4320" w:type="dxa"/>
          </w:tcPr>
          <w:p w14:paraId="1826A5DE" w14:textId="77777777" w:rsidR="0028662C" w:rsidRDefault="0028662C" w:rsidP="007163C0">
            <w:r>
              <w:t>Key statement in manuscript</w:t>
            </w:r>
          </w:p>
        </w:tc>
        <w:tc>
          <w:tcPr>
            <w:tcW w:w="4320" w:type="dxa"/>
          </w:tcPr>
          <w:p w14:paraId="1DB5F4AA" w14:textId="77777777" w:rsidR="0028662C" w:rsidRDefault="0028662C" w:rsidP="007163C0">
            <w:r>
              <w:t>Reference(s)</w:t>
            </w:r>
          </w:p>
        </w:tc>
      </w:tr>
      <w:tr w:rsidR="0028662C" w14:paraId="436510A6" w14:textId="77777777" w:rsidTr="007163C0">
        <w:tc>
          <w:tcPr>
            <w:tcW w:w="4320" w:type="dxa"/>
          </w:tcPr>
          <w:p w14:paraId="5C00EA29" w14:textId="77777777" w:rsidR="0028662C" w:rsidRDefault="0028662C" w:rsidP="007163C0">
            <w:r>
              <w:t xml:space="preserve">Three-arcade model (medial, lateral, peripatellar) and Z1–Z3 zones; Z2 is consistently </w:t>
            </w:r>
            <w:proofErr w:type="spellStart"/>
            <w:r>
              <w:t>hypovascular</w:t>
            </w:r>
            <w:proofErr w:type="spellEnd"/>
            <w:r>
              <w:t xml:space="preserve"> and matches common rupture site.</w:t>
            </w:r>
          </w:p>
        </w:tc>
        <w:tc>
          <w:tcPr>
            <w:tcW w:w="4320" w:type="dxa"/>
          </w:tcPr>
          <w:p w14:paraId="2A240874" w14:textId="77777777" w:rsidR="0028662C" w:rsidRDefault="0028662C" w:rsidP="007163C0">
            <w:r>
              <w:t>[1]</w:t>
            </w:r>
          </w:p>
        </w:tc>
      </w:tr>
      <w:tr w:rsidR="0028662C" w14:paraId="443B3330" w14:textId="77777777" w:rsidTr="007163C0">
        <w:tc>
          <w:tcPr>
            <w:tcW w:w="4320" w:type="dxa"/>
          </w:tcPr>
          <w:p w14:paraId="173C8739" w14:textId="77777777" w:rsidR="0028662C" w:rsidRDefault="0028662C" w:rsidP="007163C0">
            <w:r>
              <w:t>Distal quadriceps tendon and deep layer show higher arterial supply based on 7T MRI/micro-CT/histology.</w:t>
            </w:r>
          </w:p>
        </w:tc>
        <w:tc>
          <w:tcPr>
            <w:tcW w:w="4320" w:type="dxa"/>
          </w:tcPr>
          <w:p w14:paraId="081C6429" w14:textId="77777777" w:rsidR="0028662C" w:rsidRDefault="0028662C" w:rsidP="007163C0">
            <w:r>
              <w:t>[2]</w:t>
            </w:r>
          </w:p>
        </w:tc>
      </w:tr>
      <w:tr w:rsidR="0028662C" w14:paraId="186CD3E9" w14:textId="77777777" w:rsidTr="007163C0">
        <w:tc>
          <w:tcPr>
            <w:tcW w:w="4320" w:type="dxa"/>
          </w:tcPr>
          <w:p w14:paraId="2E279E6B" w14:textId="77777777" w:rsidR="0028662C" w:rsidRDefault="0028662C" w:rsidP="007163C0">
            <w:r>
              <w:t>Peripatellar vascular ring concept and clinical importance in patellar-region surgery.</w:t>
            </w:r>
          </w:p>
        </w:tc>
        <w:tc>
          <w:tcPr>
            <w:tcW w:w="4320" w:type="dxa"/>
          </w:tcPr>
          <w:p w14:paraId="40F52A84" w14:textId="77777777" w:rsidR="0028662C" w:rsidRDefault="0028662C" w:rsidP="007163C0">
            <w:r>
              <w:t>[3]</w:t>
            </w:r>
          </w:p>
        </w:tc>
      </w:tr>
      <w:tr w:rsidR="0028662C" w14:paraId="6B62DB94" w14:textId="77777777" w:rsidTr="007163C0">
        <w:tc>
          <w:tcPr>
            <w:tcW w:w="4320" w:type="dxa"/>
          </w:tcPr>
          <w:p w14:paraId="220A4FD6" w14:textId="77777777" w:rsidR="0028662C" w:rsidRDefault="0028662C" w:rsidP="007163C0">
            <w:r>
              <w:t>Clinical/interventional perspective on genicular/peripatellar vascular network.</w:t>
            </w:r>
          </w:p>
        </w:tc>
        <w:tc>
          <w:tcPr>
            <w:tcW w:w="4320" w:type="dxa"/>
          </w:tcPr>
          <w:p w14:paraId="00A59572" w14:textId="77777777" w:rsidR="0028662C" w:rsidRDefault="0028662C" w:rsidP="007163C0">
            <w:r>
              <w:t>[4]</w:t>
            </w:r>
          </w:p>
        </w:tc>
      </w:tr>
      <w:tr w:rsidR="0028662C" w14:paraId="388FA248" w14:textId="77777777" w:rsidTr="007163C0">
        <w:tc>
          <w:tcPr>
            <w:tcW w:w="4320" w:type="dxa"/>
          </w:tcPr>
          <w:p w14:paraId="4A8E9A34" w14:textId="77777777" w:rsidR="0028662C" w:rsidRDefault="0028662C" w:rsidP="007163C0">
            <w:r>
              <w:t>ALT perforator anatomy/positioning consensus for clinical design (2024 expert consensus).</w:t>
            </w:r>
          </w:p>
        </w:tc>
        <w:tc>
          <w:tcPr>
            <w:tcW w:w="4320" w:type="dxa"/>
          </w:tcPr>
          <w:p w14:paraId="5BBE8F63" w14:textId="77777777" w:rsidR="0028662C" w:rsidRDefault="0028662C" w:rsidP="007163C0">
            <w:r>
              <w:t>[5]</w:t>
            </w:r>
          </w:p>
        </w:tc>
      </w:tr>
      <w:tr w:rsidR="0028662C" w14:paraId="68E0285A" w14:textId="77777777" w:rsidTr="007163C0">
        <w:tc>
          <w:tcPr>
            <w:tcW w:w="4320" w:type="dxa"/>
          </w:tcPr>
          <w:p w14:paraId="79516B69" w14:textId="77777777" w:rsidR="0028662C" w:rsidRDefault="0028662C" w:rsidP="007163C0">
            <w:r>
              <w:t>Digital anatomy of LCFA branching patterns supporting pedicle planning and 3D visualization methods.</w:t>
            </w:r>
          </w:p>
        </w:tc>
        <w:tc>
          <w:tcPr>
            <w:tcW w:w="4320" w:type="dxa"/>
          </w:tcPr>
          <w:p w14:paraId="43929162" w14:textId="77777777" w:rsidR="0028662C" w:rsidRDefault="0028662C" w:rsidP="007163C0">
            <w:r>
              <w:t>[6]</w:t>
            </w:r>
          </w:p>
        </w:tc>
      </w:tr>
      <w:tr w:rsidR="0028662C" w14:paraId="4C2EADC3" w14:textId="77777777" w:rsidTr="007163C0">
        <w:tc>
          <w:tcPr>
            <w:tcW w:w="4320" w:type="dxa"/>
          </w:tcPr>
          <w:p w14:paraId="7A78F708" w14:textId="77777777" w:rsidR="0028662C" w:rsidRDefault="0028662C" w:rsidP="007163C0">
            <w:r>
              <w:t>Early postoperative stiffness/arthrofibrosis can be associated with infection and prior surgery; early motion management principles.</w:t>
            </w:r>
          </w:p>
        </w:tc>
        <w:tc>
          <w:tcPr>
            <w:tcW w:w="4320" w:type="dxa"/>
          </w:tcPr>
          <w:p w14:paraId="0DA9F528" w14:textId="77777777" w:rsidR="0028662C" w:rsidRDefault="0028662C" w:rsidP="007163C0">
            <w:r>
              <w:t>[7]</w:t>
            </w:r>
          </w:p>
        </w:tc>
      </w:tr>
    </w:tbl>
    <w:p w14:paraId="35CCEE74" w14:textId="77777777" w:rsidR="0028662C" w:rsidRDefault="0028662C" w:rsidP="0028662C"/>
    <w:p w14:paraId="11E49F1A" w14:textId="77777777" w:rsidR="0028662C" w:rsidRDefault="0028662C" w:rsidP="0028662C">
      <w:r>
        <w:rPr>
          <w:b/>
        </w:rPr>
        <w:t>Updated Early Functional Assessment (2-month detailed data)</w:t>
      </w:r>
    </w:p>
    <w:p w14:paraId="0AB85C73" w14:textId="77777777" w:rsidR="0028662C" w:rsidRDefault="0028662C" w:rsidP="0028662C">
      <w:r>
        <w:t xml:space="preserve">At 2-month follow-up, the operated knee demonstrated a Lysholm score of 47 points, reflecting substantial functional limitation in the early recovery </w:t>
      </w:r>
      <w:proofErr w:type="gramStart"/>
      <w:r>
        <w:t>phase(</w:t>
      </w:r>
      <w:proofErr w:type="gramEnd"/>
      <w:r>
        <w:t xml:space="preserve">Figure 3). The patient was unable to perform a </w:t>
      </w:r>
      <w:proofErr w:type="gramStart"/>
      <w:r>
        <w:t>straight-leg</w:t>
      </w:r>
      <w:proofErr w:type="gramEnd"/>
      <w:r>
        <w:t xml:space="preserve"> raise (SLR). Manual muscle testing (MMT) for knee extension was graded 2/5 on the operated side and 5/5 on the contralateral side. Range of motion was limited to 40</w:t>
      </w:r>
      <w:proofErr w:type="gramStart"/>
      <w:r>
        <w:t>° of flexion</w:t>
      </w:r>
      <w:proofErr w:type="gramEnd"/>
      <w:r>
        <w:t xml:space="preserve"> with approximately 20° extension contracture.</w:t>
      </w:r>
    </w:p>
    <w:p w14:paraId="5DBF5D80" w14:textId="77777777" w:rsidR="0028662C" w:rsidRDefault="0028662C" w:rsidP="0028662C">
      <w:r>
        <w:rPr>
          <w:b/>
        </w:rPr>
        <w:br/>
        <w:t>Rehabilitation Protocol</w:t>
      </w:r>
    </w:p>
    <w:p w14:paraId="1172DA69" w14:textId="77777777" w:rsidR="0028662C" w:rsidRDefault="0028662C" w:rsidP="0028662C">
      <w:r>
        <w:t xml:space="preserve">The knee was not immobilized in rigid casting postoperatively. A protective brace was used during daily activities. The brace could be removed during controlled exercises. Gradual knee flexion training was initiated approximately two weeks after surgery, progressing cautiously due to the prior infection and need to protect the reconstructed extensor </w:t>
      </w:r>
      <w:proofErr w:type="gramStart"/>
      <w:r>
        <w:t>mechanism(</w:t>
      </w:r>
      <w:proofErr w:type="gramEnd"/>
      <w:r>
        <w:t>Table 2).</w:t>
      </w:r>
    </w:p>
    <w:p w14:paraId="7E3198A0" w14:textId="77777777" w:rsidR="0028662C" w:rsidRDefault="0028662C" w:rsidP="0028662C">
      <w:r>
        <w:rPr>
          <w:b/>
        </w:rPr>
        <w:br/>
        <w:t>Table 2. Detailed Early Functional Outcomes (2 months)</w:t>
      </w:r>
    </w:p>
    <w:tbl>
      <w:tblPr>
        <w:tblW w:w="0" w:type="auto"/>
        <w:tblLook w:val="04A0" w:firstRow="1" w:lastRow="0" w:firstColumn="1" w:lastColumn="0" w:noHBand="0" w:noVBand="1"/>
      </w:tblPr>
      <w:tblGrid>
        <w:gridCol w:w="2160"/>
        <w:gridCol w:w="2160"/>
        <w:gridCol w:w="2160"/>
        <w:gridCol w:w="2160"/>
      </w:tblGrid>
      <w:tr w:rsidR="0028662C" w14:paraId="73BA9CD5" w14:textId="77777777" w:rsidTr="007163C0">
        <w:tc>
          <w:tcPr>
            <w:tcW w:w="2160" w:type="dxa"/>
          </w:tcPr>
          <w:p w14:paraId="4FB931F4" w14:textId="77777777" w:rsidR="0028662C" w:rsidRDefault="0028662C" w:rsidP="007163C0">
            <w:r>
              <w:lastRenderedPageBreak/>
              <w:t>Parameter</w:t>
            </w:r>
          </w:p>
        </w:tc>
        <w:tc>
          <w:tcPr>
            <w:tcW w:w="2160" w:type="dxa"/>
          </w:tcPr>
          <w:p w14:paraId="0EBE32FD" w14:textId="77777777" w:rsidR="0028662C" w:rsidRDefault="0028662C" w:rsidP="007163C0">
            <w:r>
              <w:t>Operated Knee</w:t>
            </w:r>
          </w:p>
        </w:tc>
        <w:tc>
          <w:tcPr>
            <w:tcW w:w="2160" w:type="dxa"/>
          </w:tcPr>
          <w:p w14:paraId="31B6C31E" w14:textId="77777777" w:rsidR="0028662C" w:rsidRDefault="0028662C" w:rsidP="007163C0">
            <w:r>
              <w:t>Contralateral Knee</w:t>
            </w:r>
          </w:p>
        </w:tc>
        <w:tc>
          <w:tcPr>
            <w:tcW w:w="2160" w:type="dxa"/>
          </w:tcPr>
          <w:p w14:paraId="4B681A02" w14:textId="77777777" w:rsidR="0028662C" w:rsidRDefault="0028662C" w:rsidP="007163C0">
            <w:r>
              <w:t>Interpretation</w:t>
            </w:r>
          </w:p>
        </w:tc>
      </w:tr>
      <w:tr w:rsidR="0028662C" w14:paraId="2EC4E51D" w14:textId="77777777" w:rsidTr="007163C0">
        <w:tc>
          <w:tcPr>
            <w:tcW w:w="2160" w:type="dxa"/>
          </w:tcPr>
          <w:p w14:paraId="591F9CFA" w14:textId="77777777" w:rsidR="0028662C" w:rsidRDefault="0028662C" w:rsidP="007163C0">
            <w:r>
              <w:t>Lysholm Score</w:t>
            </w:r>
          </w:p>
        </w:tc>
        <w:tc>
          <w:tcPr>
            <w:tcW w:w="2160" w:type="dxa"/>
          </w:tcPr>
          <w:p w14:paraId="2CD5F791" w14:textId="77777777" w:rsidR="0028662C" w:rsidRDefault="0028662C" w:rsidP="007163C0">
            <w:r>
              <w:t>47</w:t>
            </w:r>
          </w:p>
        </w:tc>
        <w:tc>
          <w:tcPr>
            <w:tcW w:w="2160" w:type="dxa"/>
          </w:tcPr>
          <w:p w14:paraId="278739DD" w14:textId="77777777" w:rsidR="0028662C" w:rsidRDefault="0028662C" w:rsidP="007163C0">
            <w:r>
              <w:t>—</w:t>
            </w:r>
          </w:p>
        </w:tc>
        <w:tc>
          <w:tcPr>
            <w:tcW w:w="2160" w:type="dxa"/>
          </w:tcPr>
          <w:p w14:paraId="09C39201" w14:textId="77777777" w:rsidR="0028662C" w:rsidRDefault="0028662C" w:rsidP="007163C0">
            <w:r>
              <w:t>Early-phase severe functional limitation</w:t>
            </w:r>
          </w:p>
        </w:tc>
      </w:tr>
      <w:tr w:rsidR="0028662C" w14:paraId="02E41855" w14:textId="77777777" w:rsidTr="007163C0">
        <w:tc>
          <w:tcPr>
            <w:tcW w:w="2160" w:type="dxa"/>
          </w:tcPr>
          <w:p w14:paraId="52965E94" w14:textId="77777777" w:rsidR="0028662C" w:rsidRDefault="0028662C" w:rsidP="007163C0">
            <w:r>
              <w:t>Straight Leg Raise (SLR)</w:t>
            </w:r>
          </w:p>
        </w:tc>
        <w:tc>
          <w:tcPr>
            <w:tcW w:w="2160" w:type="dxa"/>
          </w:tcPr>
          <w:p w14:paraId="6DB733D2" w14:textId="77777777" w:rsidR="0028662C" w:rsidRDefault="0028662C" w:rsidP="007163C0">
            <w:r>
              <w:t>Unable</w:t>
            </w:r>
          </w:p>
        </w:tc>
        <w:tc>
          <w:tcPr>
            <w:tcW w:w="2160" w:type="dxa"/>
          </w:tcPr>
          <w:p w14:paraId="284BFA40" w14:textId="77777777" w:rsidR="0028662C" w:rsidRDefault="0028662C" w:rsidP="007163C0">
            <w:r>
              <w:t>Able</w:t>
            </w:r>
          </w:p>
        </w:tc>
        <w:tc>
          <w:tcPr>
            <w:tcW w:w="2160" w:type="dxa"/>
          </w:tcPr>
          <w:p w14:paraId="05CC1F94" w14:textId="77777777" w:rsidR="0028662C" w:rsidRDefault="0028662C" w:rsidP="007163C0">
            <w:r>
              <w:t>Delayed quadriceps activation</w:t>
            </w:r>
          </w:p>
        </w:tc>
      </w:tr>
      <w:tr w:rsidR="0028662C" w14:paraId="2E769787" w14:textId="77777777" w:rsidTr="007163C0">
        <w:tc>
          <w:tcPr>
            <w:tcW w:w="2160" w:type="dxa"/>
          </w:tcPr>
          <w:p w14:paraId="038624C3" w14:textId="77777777" w:rsidR="0028662C" w:rsidRDefault="0028662C" w:rsidP="007163C0">
            <w:r>
              <w:t>Quadriceps Strength (MMT)</w:t>
            </w:r>
          </w:p>
        </w:tc>
        <w:tc>
          <w:tcPr>
            <w:tcW w:w="2160" w:type="dxa"/>
          </w:tcPr>
          <w:p w14:paraId="4C3D02F1" w14:textId="77777777" w:rsidR="0028662C" w:rsidRDefault="0028662C" w:rsidP="007163C0">
            <w:r>
              <w:t>2/5</w:t>
            </w:r>
          </w:p>
        </w:tc>
        <w:tc>
          <w:tcPr>
            <w:tcW w:w="2160" w:type="dxa"/>
          </w:tcPr>
          <w:p w14:paraId="5BA6A790" w14:textId="77777777" w:rsidR="0028662C" w:rsidRDefault="0028662C" w:rsidP="007163C0">
            <w:r>
              <w:t>5/5</w:t>
            </w:r>
          </w:p>
        </w:tc>
        <w:tc>
          <w:tcPr>
            <w:tcW w:w="2160" w:type="dxa"/>
          </w:tcPr>
          <w:p w14:paraId="23772FEF" w14:textId="77777777" w:rsidR="0028662C" w:rsidRDefault="0028662C" w:rsidP="007163C0">
            <w:r>
              <w:t>Marked early weakness</w:t>
            </w:r>
          </w:p>
        </w:tc>
      </w:tr>
      <w:tr w:rsidR="0028662C" w14:paraId="34CB5C03" w14:textId="77777777" w:rsidTr="007163C0">
        <w:tc>
          <w:tcPr>
            <w:tcW w:w="2160" w:type="dxa"/>
          </w:tcPr>
          <w:p w14:paraId="169FD642" w14:textId="77777777" w:rsidR="0028662C" w:rsidRDefault="0028662C" w:rsidP="007163C0">
            <w:r>
              <w:t>Range of Motion</w:t>
            </w:r>
          </w:p>
        </w:tc>
        <w:tc>
          <w:tcPr>
            <w:tcW w:w="2160" w:type="dxa"/>
          </w:tcPr>
          <w:p w14:paraId="0CEB6F02" w14:textId="77777777" w:rsidR="0028662C" w:rsidRDefault="0028662C" w:rsidP="007163C0">
            <w:r>
              <w:t>20° contracture / 40° flexion</w:t>
            </w:r>
          </w:p>
        </w:tc>
        <w:tc>
          <w:tcPr>
            <w:tcW w:w="2160" w:type="dxa"/>
          </w:tcPr>
          <w:p w14:paraId="3F0E48B6" w14:textId="77777777" w:rsidR="0028662C" w:rsidRDefault="0028662C" w:rsidP="007163C0">
            <w:r>
              <w:t>Full</w:t>
            </w:r>
          </w:p>
        </w:tc>
        <w:tc>
          <w:tcPr>
            <w:tcW w:w="2160" w:type="dxa"/>
          </w:tcPr>
          <w:p w14:paraId="220855AC" w14:textId="77777777" w:rsidR="0028662C" w:rsidRDefault="0028662C" w:rsidP="007163C0">
            <w:r>
              <w:t>Post-infectious stiffness</w:t>
            </w:r>
          </w:p>
        </w:tc>
      </w:tr>
    </w:tbl>
    <w:p w14:paraId="78959F3A" w14:textId="77777777" w:rsidR="0028662C" w:rsidRDefault="0028662C" w:rsidP="0028662C">
      <w:r>
        <w:br w:type="page"/>
      </w:r>
    </w:p>
    <w:p w14:paraId="06861CF7" w14:textId="77777777" w:rsidR="00A91650" w:rsidRDefault="00A91650"/>
    <w:sectPr w:rsidR="00A91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62C"/>
    <w:rsid w:val="000D3964"/>
    <w:rsid w:val="000E2EDD"/>
    <w:rsid w:val="0028662C"/>
    <w:rsid w:val="00A91650"/>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FEBF4"/>
  <w15:chartTrackingRefBased/>
  <w15:docId w15:val="{3378CE20-A182-4CBB-A607-8E06C19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62C"/>
    <w:pPr>
      <w:spacing w:after="200" w:line="276" w:lineRule="auto"/>
    </w:pPr>
    <w:rPr>
      <w:rFonts w:ascii="Times New Roman" w:eastAsiaTheme="minorEastAsia" w:hAnsi="Times New Roman"/>
      <w:kern w:val="0"/>
      <w:sz w:val="22"/>
      <w:szCs w:val="22"/>
      <w:lang w:val="en-US"/>
      <w14:ligatures w14:val="none"/>
    </w:rPr>
  </w:style>
  <w:style w:type="paragraph" w:styleId="Heading1">
    <w:name w:val="heading 1"/>
    <w:basedOn w:val="Normal"/>
    <w:next w:val="Normal"/>
    <w:link w:val="Heading1Char"/>
    <w:uiPriority w:val="9"/>
    <w:qFormat/>
    <w:rsid w:val="0028662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28662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28662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28662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28662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28662C"/>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28662C"/>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28662C"/>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28662C"/>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6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66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6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6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66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6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62C"/>
    <w:rPr>
      <w:rFonts w:eastAsiaTheme="majorEastAsia" w:cstheme="majorBidi"/>
      <w:color w:val="272727" w:themeColor="text1" w:themeTint="D8"/>
    </w:rPr>
  </w:style>
  <w:style w:type="paragraph" w:styleId="Title">
    <w:name w:val="Title"/>
    <w:basedOn w:val="Normal"/>
    <w:next w:val="Normal"/>
    <w:link w:val="TitleChar"/>
    <w:uiPriority w:val="10"/>
    <w:qFormat/>
    <w:rsid w:val="0028662C"/>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286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62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286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62C"/>
    <w:pPr>
      <w:spacing w:before="160" w:after="160" w:line="278" w:lineRule="auto"/>
      <w:jc w:val="center"/>
    </w:pPr>
    <w:rPr>
      <w:rFonts w:asciiTheme="minorHAnsi" w:eastAsiaTheme="minorHAnsi" w:hAnsiTheme="minorHAns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28662C"/>
    <w:rPr>
      <w:i/>
      <w:iCs/>
      <w:color w:val="404040" w:themeColor="text1" w:themeTint="BF"/>
    </w:rPr>
  </w:style>
  <w:style w:type="paragraph" w:styleId="ListParagraph">
    <w:name w:val="List Paragraph"/>
    <w:basedOn w:val="Normal"/>
    <w:uiPriority w:val="34"/>
    <w:qFormat/>
    <w:rsid w:val="0028662C"/>
    <w:pPr>
      <w:spacing w:after="160" w:line="278" w:lineRule="auto"/>
      <w:ind w:left="720"/>
      <w:contextualSpacing/>
    </w:pPr>
    <w:rPr>
      <w:rFonts w:asciiTheme="minorHAnsi" w:eastAsiaTheme="minorHAnsi" w:hAnsiTheme="minorHAnsi"/>
      <w:kern w:val="2"/>
      <w:sz w:val="24"/>
      <w:szCs w:val="24"/>
      <w:lang w:val="en-IN"/>
      <w14:ligatures w14:val="standardContextual"/>
    </w:rPr>
  </w:style>
  <w:style w:type="character" w:styleId="IntenseEmphasis">
    <w:name w:val="Intense Emphasis"/>
    <w:basedOn w:val="DefaultParagraphFont"/>
    <w:uiPriority w:val="21"/>
    <w:qFormat/>
    <w:rsid w:val="0028662C"/>
    <w:rPr>
      <w:i/>
      <w:iCs/>
      <w:color w:val="0F4761" w:themeColor="accent1" w:themeShade="BF"/>
    </w:rPr>
  </w:style>
  <w:style w:type="paragraph" w:styleId="IntenseQuote">
    <w:name w:val="Intense Quote"/>
    <w:basedOn w:val="Normal"/>
    <w:next w:val="Normal"/>
    <w:link w:val="IntenseQuoteChar"/>
    <w:uiPriority w:val="30"/>
    <w:qFormat/>
    <w:rsid w:val="0028662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28662C"/>
    <w:rPr>
      <w:i/>
      <w:iCs/>
      <w:color w:val="0F4761" w:themeColor="accent1" w:themeShade="BF"/>
    </w:rPr>
  </w:style>
  <w:style w:type="character" w:styleId="IntenseReference">
    <w:name w:val="Intense Reference"/>
    <w:basedOn w:val="DefaultParagraphFont"/>
    <w:uiPriority w:val="32"/>
    <w:qFormat/>
    <w:rsid w:val="002866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2026-06-12T11:27:00Z</dcterms:created>
  <dcterms:modified xsi:type="dcterms:W3CDTF">2026-06-12T11:28:00Z</dcterms:modified>
</cp:coreProperties>
</file>