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C84E2" w14:textId="77777777" w:rsidR="00A44E67" w:rsidRDefault="00A44E67">
      <w:pPr>
        <w:spacing w:before="40" w:after="40"/>
      </w:pPr>
    </w:p>
    <w:p w14:paraId="76D29409" w14:textId="77777777" w:rsidR="00A44E67" w:rsidRDefault="00A44E67">
      <w:pPr>
        <w:spacing w:before="40" w:after="40"/>
      </w:pPr>
    </w:p>
    <w:p w14:paraId="0786177B" w14:textId="77777777" w:rsidR="00A44E67" w:rsidRDefault="00000000">
      <w:pPr>
        <w:spacing w:before="80" w:after="80"/>
        <w:jc w:val="center"/>
      </w:pPr>
      <w:r>
        <w:rPr>
          <w:b/>
          <w:bCs/>
          <w:sz w:val="32"/>
          <w:szCs w:val="32"/>
        </w:rPr>
        <w:t>Supplementary Materials</w:t>
      </w:r>
    </w:p>
    <w:p w14:paraId="3E3F870D" w14:textId="77777777" w:rsidR="00A44E67" w:rsidRDefault="00A44E67">
      <w:pPr>
        <w:spacing w:before="40" w:after="40"/>
      </w:pPr>
    </w:p>
    <w:p w14:paraId="262CCE7F" w14:textId="77777777" w:rsidR="00A44E67" w:rsidRDefault="00000000">
      <w:pPr>
        <w:spacing w:before="80" w:after="80"/>
        <w:jc w:val="center"/>
      </w:pPr>
      <w:r>
        <w:rPr>
          <w:b/>
          <w:bCs/>
        </w:rPr>
        <w:t>Mutant TP53 Hotspot Variants Differentially Rewire the Caspase Regulatory Network Across Cancer Lineages: A Pan-Cancer Computational Pharmacology Analysis</w:t>
      </w:r>
    </w:p>
    <w:p w14:paraId="1FFAB0A3" w14:textId="77777777" w:rsidR="00A44E67" w:rsidRDefault="00A44E67">
      <w:pPr>
        <w:spacing w:before="40" w:after="40"/>
      </w:pPr>
    </w:p>
    <w:p w14:paraId="6F57102A" w14:textId="0E385271" w:rsidR="00A44E67" w:rsidRDefault="00BC09CA">
      <w:pPr>
        <w:spacing w:before="80" w:after="80"/>
        <w:jc w:val="center"/>
      </w:pPr>
      <w:r>
        <w:rPr>
          <w:b/>
          <w:bCs/>
        </w:rPr>
        <w:t>Dr. Dev Sudersan Venkatesan, Pharm.D</w:t>
      </w:r>
    </w:p>
    <w:p w14:paraId="7A1408E0" w14:textId="77777777" w:rsidR="00A44E67" w:rsidRDefault="00000000">
      <w:pPr>
        <w:spacing w:before="80" w:after="80"/>
        <w:jc w:val="center"/>
      </w:pPr>
      <w:r>
        <w:t>Independent Researcher, Computational Oncology</w:t>
      </w:r>
    </w:p>
    <w:p w14:paraId="6DA56FAF" w14:textId="77777777" w:rsidR="00A44E67" w:rsidRDefault="00A44E67">
      <w:pPr>
        <w:spacing w:before="40" w:after="40"/>
      </w:pPr>
    </w:p>
    <w:p w14:paraId="7EBA8594" w14:textId="77777777" w:rsidR="00A44E67" w:rsidRDefault="00A44E67">
      <w:pPr>
        <w:spacing w:before="40" w:after="40"/>
      </w:pPr>
    </w:p>
    <w:p w14:paraId="54A38C74" w14:textId="77777777" w:rsidR="00A44E67" w:rsidRDefault="00000000">
      <w:pPr>
        <w:spacing w:before="80" w:after="80"/>
        <w:jc w:val="center"/>
      </w:pPr>
      <w:r>
        <w:rPr>
          <w:i/>
          <w:iCs/>
        </w:rPr>
        <w:t>Journal: Molecular Cancer</w:t>
      </w:r>
    </w:p>
    <w:p w14:paraId="21502A90" w14:textId="77777777" w:rsidR="00A44E67" w:rsidRDefault="00000000">
      <w:pPr>
        <w:spacing w:before="80" w:after="80"/>
        <w:jc w:val="center"/>
      </w:pPr>
      <w:r>
        <w:rPr>
          <w:i/>
          <w:iCs/>
        </w:rPr>
        <w:t>Manuscript Type: Research Article</w:t>
      </w:r>
    </w:p>
    <w:p w14:paraId="1B7DA9C9" w14:textId="77777777" w:rsidR="00A44E67" w:rsidRDefault="00A44E67">
      <w:pPr>
        <w:spacing w:before="40" w:after="40"/>
      </w:pPr>
    </w:p>
    <w:p w14:paraId="3EE744D5" w14:textId="77777777" w:rsidR="00A44E67" w:rsidRDefault="00000000">
      <w:pPr>
        <w:spacing w:before="80" w:after="80"/>
        <w:jc w:val="both"/>
      </w:pPr>
      <w:r>
        <w:rPr>
          <w:b/>
          <w:bCs/>
        </w:rPr>
        <w:t>Contents of Supplementary Materials:</w:t>
      </w:r>
    </w:p>
    <w:p w14:paraId="49487DCA" w14:textId="77777777" w:rsidR="00A44E67" w:rsidRDefault="00A44E67">
      <w:pPr>
        <w:spacing w:before="40" w:after="40"/>
      </w:pPr>
    </w:p>
    <w:p w14:paraId="7D0E8320" w14:textId="77777777" w:rsidR="00A44E67" w:rsidRDefault="00000000">
      <w:pPr>
        <w:spacing w:before="80" w:after="80"/>
        <w:jc w:val="both"/>
      </w:pPr>
      <w:r>
        <w:t>Supplementary Figures</w:t>
      </w:r>
    </w:p>
    <w:p w14:paraId="30C94D2D" w14:textId="77777777" w:rsidR="00A44E67" w:rsidRDefault="00000000">
      <w:pPr>
        <w:spacing w:before="80" w:after="80"/>
        <w:jc w:val="both"/>
      </w:pPr>
      <w:r>
        <w:t>Figure S1. Per-cohort volcano plots of caspase network DEGs (8 cohorts)</w:t>
      </w:r>
    </w:p>
    <w:p w14:paraId="35A27637" w14:textId="77777777" w:rsidR="00A44E67" w:rsidRDefault="00000000">
      <w:pPr>
        <w:spacing w:before="80" w:after="80"/>
        <w:jc w:val="both"/>
      </w:pPr>
      <w:r>
        <w:t>Figure S2. Complete Kaplan-Meier survival curves (72 plots; 9 genes x 8 cohorts)</w:t>
      </w:r>
    </w:p>
    <w:p w14:paraId="349DDEAB" w14:textId="77777777" w:rsidR="00A44E67" w:rsidRDefault="00000000">
      <w:pPr>
        <w:spacing w:before="80" w:after="80"/>
        <w:jc w:val="both"/>
      </w:pPr>
      <w:r>
        <w:t>Figure S3. Cox regression results — complete forest plot (all genes, all cohorts)</w:t>
      </w:r>
    </w:p>
    <w:p w14:paraId="277412ED" w14:textId="77777777" w:rsidR="00A44E67" w:rsidRDefault="00A44E67">
      <w:pPr>
        <w:spacing w:before="40" w:after="40"/>
      </w:pPr>
    </w:p>
    <w:p w14:paraId="2B06C88B" w14:textId="77777777" w:rsidR="00A44E67" w:rsidRDefault="00000000">
      <w:pPr>
        <w:spacing w:before="80" w:after="80"/>
        <w:jc w:val="both"/>
      </w:pPr>
      <w:r>
        <w:t>Supplementary Tables</w:t>
      </w:r>
    </w:p>
    <w:p w14:paraId="3E484A0C" w14:textId="77777777" w:rsidR="00A44E67" w:rsidRDefault="00000000">
      <w:pPr>
        <w:spacing w:before="80" w:after="80"/>
        <w:jc w:val="both"/>
      </w:pPr>
      <w:r>
        <w:t>Table S1. Complete DESeq2 results — all 8 cohorts, all 34 caspase genes</w:t>
      </w:r>
    </w:p>
    <w:p w14:paraId="764D881F" w14:textId="77777777" w:rsidR="00A44E67" w:rsidRDefault="00000000">
      <w:pPr>
        <w:spacing w:before="80" w:after="80"/>
        <w:jc w:val="both"/>
      </w:pPr>
      <w:r>
        <w:t>Table S2. Hotspot-resolved DESeq2 results — R175H, R248W, R273H</w:t>
      </w:r>
    </w:p>
    <w:p w14:paraId="176BFE55" w14:textId="77777777" w:rsidR="00A44E67" w:rsidRDefault="00000000">
      <w:pPr>
        <w:spacing w:before="80" w:after="80"/>
        <w:jc w:val="both"/>
      </w:pPr>
      <w:r>
        <w:t>Table S3. Complete Cox regression hazard ratios — all 9 genes x 8 cohorts</w:t>
      </w:r>
    </w:p>
    <w:p w14:paraId="2508BA1A" w14:textId="77777777" w:rsidR="00A44E67" w:rsidRDefault="00000000">
      <w:pPr>
        <w:spacing w:before="80" w:after="80"/>
        <w:jc w:val="both"/>
      </w:pPr>
      <w:r>
        <w:t>Table S4. CCLE Wilcoxon test results — 34 genes x 24 lineages</w:t>
      </w:r>
    </w:p>
    <w:p w14:paraId="5AD84C43" w14:textId="77777777" w:rsidR="00A44E67" w:rsidRDefault="00000000">
      <w:pPr>
        <w:spacing w:before="80" w:after="80"/>
        <w:jc w:val="both"/>
      </w:pPr>
      <w:r>
        <w:t xml:space="preserve">Table S5. </w:t>
      </w:r>
      <w:proofErr w:type="spellStart"/>
      <w:r>
        <w:t>ssGSEA</w:t>
      </w:r>
      <w:proofErr w:type="spellEnd"/>
      <w:r>
        <w:t xml:space="preserve"> enrichment scores — per cohort per pathway</w:t>
      </w:r>
    </w:p>
    <w:p w14:paraId="36F297DB" w14:textId="77777777" w:rsidR="00A44E67" w:rsidRDefault="00000000">
      <w:pPr>
        <w:spacing w:before="80" w:after="80"/>
        <w:jc w:val="both"/>
      </w:pPr>
      <w:r>
        <w:t>Table S6. Caspase regulatory network gene set definition and functional annotations</w:t>
      </w:r>
    </w:p>
    <w:p w14:paraId="13B88D85" w14:textId="77777777" w:rsidR="00A44E67" w:rsidRDefault="00A44E67">
      <w:pPr>
        <w:spacing w:before="40" w:after="40"/>
      </w:pPr>
    </w:p>
    <w:p w14:paraId="2A19DC71" w14:textId="77777777" w:rsidR="00A44E67" w:rsidRDefault="00000000">
      <w:pPr>
        <w:spacing w:before="80" w:after="80"/>
        <w:jc w:val="both"/>
      </w:pPr>
      <w:r>
        <w:t>Supplementary Methods</w:t>
      </w:r>
    </w:p>
    <w:p w14:paraId="3D2AAC93" w14:textId="77777777" w:rsidR="00A44E67" w:rsidRDefault="00000000">
      <w:pPr>
        <w:spacing w:before="80" w:after="80"/>
        <w:jc w:val="both"/>
      </w:pPr>
      <w:r>
        <w:t>Detailed statistical methodology and reproducibility notes</w:t>
      </w:r>
    </w:p>
    <w:p w14:paraId="292B4EDB" w14:textId="77777777" w:rsidR="00A44E67" w:rsidRDefault="00A44E67">
      <w:pPr>
        <w:spacing w:before="40" w:after="40"/>
      </w:pPr>
    </w:p>
    <w:p w14:paraId="7D7CFE06" w14:textId="77777777" w:rsidR="00A44E67" w:rsidRDefault="00000000">
      <w:r>
        <w:br w:type="page"/>
      </w:r>
    </w:p>
    <w:p w14:paraId="3F2A1D8C" w14:textId="77777777" w:rsidR="00A44E67" w:rsidRDefault="00000000">
      <w:pPr>
        <w:pStyle w:val="Heading1"/>
      </w:pPr>
      <w:r>
        <w:lastRenderedPageBreak/>
        <w:t>Supplementary Figures</w:t>
      </w:r>
    </w:p>
    <w:p w14:paraId="4DBC56F4" w14:textId="77777777" w:rsidR="00A44E67" w:rsidRDefault="00000000">
      <w:pPr>
        <w:pStyle w:val="Heading2"/>
      </w:pPr>
      <w:r>
        <w:t>Figure S1. Per-Cohort Volcano Plots of Caspase Network Differential Gene Expression</w:t>
      </w:r>
    </w:p>
    <w:p w14:paraId="4D60B957" w14:textId="77777777" w:rsidR="00A44E67" w:rsidRDefault="00A44E67">
      <w:pPr>
        <w:spacing w:before="40" w:after="40"/>
      </w:pPr>
    </w:p>
    <w:p w14:paraId="79C3B5D8" w14:textId="75099A31" w:rsidR="00A44E67" w:rsidRPr="00BC09CA" w:rsidRDefault="00BC09CA">
      <w:pPr>
        <w:spacing w:before="40" w:after="40"/>
        <w:rPr>
          <w:b/>
          <w:bCs/>
        </w:rPr>
      </w:pPr>
      <w:r w:rsidRPr="00BC09CA">
        <w:rPr>
          <w:b/>
          <w:bCs/>
        </w:rPr>
        <w:t>Supplementary Figure S1 is provided as a separate PDF file: FigureS1_Volcano_All_Cohorts.pdf</w:t>
      </w:r>
    </w:p>
    <w:p w14:paraId="5844A237" w14:textId="77777777" w:rsidR="00A44E67" w:rsidRDefault="00A44E67">
      <w:pPr>
        <w:spacing w:before="40" w:after="40"/>
      </w:pPr>
    </w:p>
    <w:p w14:paraId="5C0FF0B2" w14:textId="77777777" w:rsidR="00A44E67" w:rsidRDefault="00000000">
      <w:pPr>
        <w:spacing w:before="60" w:after="100"/>
        <w:jc w:val="both"/>
      </w:pPr>
      <w:r>
        <w:rPr>
          <w:b/>
          <w:bCs/>
          <w:sz w:val="22"/>
          <w:szCs w:val="22"/>
        </w:rPr>
        <w:t xml:space="preserve">Figure S1. </w:t>
      </w:r>
      <w:r>
        <w:rPr>
          <w:sz w:val="22"/>
          <w:szCs w:val="22"/>
        </w:rPr>
        <w:t>Volcano plots of DESeq2 differential expression results for the 34-gene caspase regulatory network in each of the eight TCGA cancer cohorts. X-axis: log2 fold change (mutp53 vs wtp53). Y-axis: -log10 adjusted p-value. Red points: significantly upregulated in mutp53 (</w:t>
      </w:r>
      <w:proofErr w:type="spellStart"/>
      <w:r>
        <w:rPr>
          <w:sz w:val="22"/>
          <w:szCs w:val="22"/>
        </w:rPr>
        <w:t>padj</w:t>
      </w:r>
      <w:proofErr w:type="spellEnd"/>
      <w:r>
        <w:rPr>
          <w:sz w:val="22"/>
          <w:szCs w:val="22"/>
        </w:rPr>
        <w:t>&lt;0.05, log2FC&gt;0.5). Blue points: significantly downregulated (</w:t>
      </w:r>
      <w:proofErr w:type="spellStart"/>
      <w:r>
        <w:rPr>
          <w:sz w:val="22"/>
          <w:szCs w:val="22"/>
        </w:rPr>
        <w:t>padj</w:t>
      </w:r>
      <w:proofErr w:type="spellEnd"/>
      <w:r>
        <w:rPr>
          <w:sz w:val="22"/>
          <w:szCs w:val="22"/>
        </w:rPr>
        <w:t>&lt;0.05, log2FC&lt;-0.5). Grey points: not significant. Gene labels shown for significant genes with -log10(</w:t>
      </w:r>
      <w:proofErr w:type="spellStart"/>
      <w:r>
        <w:rPr>
          <w:sz w:val="22"/>
          <w:szCs w:val="22"/>
        </w:rPr>
        <w:t>padj</w:t>
      </w:r>
      <w:proofErr w:type="spellEnd"/>
      <w:r>
        <w:rPr>
          <w:sz w:val="22"/>
          <w:szCs w:val="22"/>
        </w:rPr>
        <w:t xml:space="preserve">)&gt;2. Dashed vertical lines indicate |log2FC|=0.5 threshold. Dashed horizontal line indicates </w:t>
      </w:r>
      <w:proofErr w:type="spellStart"/>
      <w:r>
        <w:rPr>
          <w:sz w:val="22"/>
          <w:szCs w:val="22"/>
        </w:rPr>
        <w:t>padj</w:t>
      </w:r>
      <w:proofErr w:type="spellEnd"/>
      <w:r>
        <w:rPr>
          <w:sz w:val="22"/>
          <w:szCs w:val="22"/>
        </w:rPr>
        <w:t>=0.05 threshold. All analyses performed using DESeq2 v1.46 with Benjamini-Hochberg multiple testing correction. (A) TCGA-LUAD, n=490. (B) TCGA-COAD, n=450. (C) TCGA-STAD, n=376. (D) TCGA-PAAD, n=147. (E) TCGA-LUSC, n=409. (F) TCGA-HNSC, n=406. (G) TCGA-BLCA, n=363. (H) TCGA-LIHC, n=387.</w:t>
      </w:r>
    </w:p>
    <w:p w14:paraId="6A91B8E6" w14:textId="77777777" w:rsidR="00A44E67" w:rsidRDefault="00A44E67">
      <w:pPr>
        <w:spacing w:before="40" w:after="40"/>
      </w:pPr>
    </w:p>
    <w:p w14:paraId="736F4065" w14:textId="77777777" w:rsidR="00A44E67" w:rsidRDefault="00A44E67">
      <w:pPr>
        <w:spacing w:before="40" w:after="40"/>
      </w:pPr>
    </w:p>
    <w:p w14:paraId="0E0651AA" w14:textId="77777777" w:rsidR="00A44E67" w:rsidRDefault="00000000">
      <w:r>
        <w:br w:type="page"/>
      </w:r>
    </w:p>
    <w:p w14:paraId="23779AAF" w14:textId="77777777" w:rsidR="00A44E67" w:rsidRDefault="00000000">
      <w:pPr>
        <w:pStyle w:val="Heading2"/>
      </w:pPr>
      <w:r>
        <w:lastRenderedPageBreak/>
        <w:t>Figure S2. Complete Kaplan-Meier Overall Survival Curves (72 Plots)</w:t>
      </w:r>
    </w:p>
    <w:p w14:paraId="3E7600B1" w14:textId="77777777" w:rsidR="00A44E67" w:rsidRDefault="00A44E67">
      <w:pPr>
        <w:spacing w:before="40" w:after="40"/>
      </w:pPr>
    </w:p>
    <w:p w14:paraId="06FF6886" w14:textId="1D5E93FF" w:rsidR="00A44E67" w:rsidRDefault="00BC09CA">
      <w:pPr>
        <w:spacing w:before="40" w:after="40"/>
        <w:rPr>
          <w:b/>
          <w:bCs/>
        </w:rPr>
      </w:pPr>
      <w:r w:rsidRPr="00BC09CA">
        <w:rPr>
          <w:b/>
          <w:bCs/>
        </w:rPr>
        <w:t>Supplementary Figure S2 is provided as a separate PDF file: Figure4_Survival_KM_Plots.pdf (73 pages; page 1 blank cover; pages 2–73 contain Kaplan-Meier curves for 9 genes across 8 cohorts in the order CASP3, CASP9, BCL2, XIAP, BIRC5, CFLAR, APAF1, BAX, PIDD1, with 8 cohorts per gene in the order LUAD, COAD, STAD, PAAD, LUSC, HNSC, BLCA, LIHC).</w:t>
      </w:r>
    </w:p>
    <w:p w14:paraId="7248F81B" w14:textId="77777777" w:rsidR="00BC09CA" w:rsidRPr="00BC09CA" w:rsidRDefault="00BC09CA">
      <w:pPr>
        <w:spacing w:before="40" w:after="40"/>
        <w:rPr>
          <w:b/>
          <w:bCs/>
        </w:rPr>
      </w:pPr>
    </w:p>
    <w:p w14:paraId="0F59A24B" w14:textId="77777777" w:rsidR="00A44E67" w:rsidRDefault="00000000">
      <w:pPr>
        <w:spacing w:before="60" w:after="100"/>
        <w:jc w:val="both"/>
      </w:pPr>
      <w:r>
        <w:rPr>
          <w:b/>
          <w:bCs/>
          <w:sz w:val="22"/>
          <w:szCs w:val="22"/>
        </w:rPr>
        <w:t xml:space="preserve">Figure S2. </w:t>
      </w:r>
      <w:r>
        <w:rPr>
          <w:sz w:val="22"/>
          <w:szCs w:val="22"/>
        </w:rPr>
        <w:t xml:space="preserve">Complete Kaplan-Meier overall survival curves for all nine clinically prioritized caspase network genes across all eight TCGA cancer cohorts (72 plots total). Three survival groups are compared: gene expression High/mutp53 (red), gene expression Low/mutp53 (blue), and wtp53 reference group (green). Gene expression tertiles were computed within each cohort; High = top tertile, Low = bottom tertile. Log-rank p-values are shown on each plot. Number-at-risk tables are provided below each curve. Survival data extracted from TCGA clinical metadata via </w:t>
      </w:r>
      <w:proofErr w:type="spellStart"/>
      <w:r>
        <w:rPr>
          <w:sz w:val="22"/>
          <w:szCs w:val="22"/>
        </w:rPr>
        <w:t>colData</w:t>
      </w:r>
      <w:proofErr w:type="spellEnd"/>
      <w:r>
        <w:rPr>
          <w:sz w:val="22"/>
          <w:szCs w:val="22"/>
        </w:rPr>
        <w:t xml:space="preserve"> of </w:t>
      </w:r>
      <w:proofErr w:type="spellStart"/>
      <w:r>
        <w:rPr>
          <w:sz w:val="22"/>
          <w:szCs w:val="22"/>
        </w:rPr>
        <w:t>SummarizedExperiment</w:t>
      </w:r>
      <w:proofErr w:type="spellEnd"/>
      <w:r>
        <w:rPr>
          <w:sz w:val="22"/>
          <w:szCs w:val="22"/>
        </w:rPr>
        <w:t xml:space="preserve"> objects. Plots generated using </w:t>
      </w:r>
      <w:proofErr w:type="spellStart"/>
      <w:r>
        <w:rPr>
          <w:sz w:val="22"/>
          <w:szCs w:val="22"/>
        </w:rPr>
        <w:t>survminer</w:t>
      </w:r>
      <w:proofErr w:type="spellEnd"/>
      <w:r>
        <w:rPr>
          <w:sz w:val="22"/>
          <w:szCs w:val="22"/>
        </w:rPr>
        <w:t xml:space="preserve"> v0.5.0 in R v4.5.3. Only plots with n&gt;=30 total samples are shown.</w:t>
      </w:r>
    </w:p>
    <w:p w14:paraId="7CB3C0E7" w14:textId="77777777" w:rsidR="00A44E67" w:rsidRDefault="00A44E67">
      <w:pPr>
        <w:spacing w:before="40" w:after="40"/>
      </w:pPr>
    </w:p>
    <w:p w14:paraId="16FC5DD3" w14:textId="77777777" w:rsidR="00A44E67" w:rsidRDefault="00A44E67">
      <w:pPr>
        <w:spacing w:before="40" w:after="40"/>
      </w:pPr>
    </w:p>
    <w:p w14:paraId="37EC98AA" w14:textId="536BA1BF" w:rsidR="00A44E67" w:rsidRDefault="00000000">
      <w:r>
        <w:br w:type="page"/>
      </w:r>
    </w:p>
    <w:p w14:paraId="0AA973D9" w14:textId="77777777" w:rsidR="00A44E67" w:rsidRDefault="00000000">
      <w:pPr>
        <w:pStyle w:val="Heading1"/>
      </w:pPr>
      <w:r>
        <w:lastRenderedPageBreak/>
        <w:t>Supplementary Tables</w:t>
      </w:r>
    </w:p>
    <w:p w14:paraId="21CE0741" w14:textId="77777777" w:rsidR="00A44E67" w:rsidRDefault="00000000">
      <w:pPr>
        <w:pStyle w:val="Heading2"/>
      </w:pPr>
      <w:r>
        <w:t>Table S1. Complete DESeq2 Results — All 8 Cohorts</w:t>
      </w:r>
    </w:p>
    <w:p w14:paraId="77F8FDA9" w14:textId="77777777" w:rsidR="00A44E67" w:rsidRDefault="00A44E67">
      <w:pPr>
        <w:spacing w:before="40" w:after="40"/>
      </w:pPr>
    </w:p>
    <w:p w14:paraId="6E5F25B5" w14:textId="77777777" w:rsidR="00A44E67" w:rsidRDefault="00A44E67">
      <w:pPr>
        <w:spacing w:before="40" w:after="40"/>
      </w:pPr>
    </w:p>
    <w:p w14:paraId="5336942D" w14:textId="77777777" w:rsidR="00A44E67" w:rsidRDefault="00000000">
      <w:pPr>
        <w:spacing w:before="80" w:after="80"/>
        <w:jc w:val="both"/>
      </w:pPr>
      <w:r>
        <w:rPr>
          <w:i/>
          <w:iCs/>
        </w:rPr>
        <w:t>Supplementary Table S1 is provided as a separate Microsoft Excel file (TableS1_DESeq2_Complete_Results.xlsx).</w:t>
      </w:r>
    </w:p>
    <w:p w14:paraId="6FDF7343" w14:textId="77777777" w:rsidR="00A44E67" w:rsidRDefault="00A44E67">
      <w:pPr>
        <w:spacing w:before="40" w:after="40"/>
      </w:pPr>
    </w:p>
    <w:p w14:paraId="6A55C746" w14:textId="77777777" w:rsidR="00A44E67" w:rsidRDefault="00000000">
      <w:pPr>
        <w:spacing w:before="80" w:after="80"/>
        <w:jc w:val="both"/>
      </w:pPr>
      <w:r>
        <w:rPr>
          <w:b/>
          <w:bCs/>
        </w:rPr>
        <w:t>Column descriptions:</w:t>
      </w:r>
    </w:p>
    <w:p w14:paraId="77CAC508" w14:textId="77777777" w:rsidR="00A44E67" w:rsidRDefault="00000000">
      <w:pPr>
        <w:spacing w:before="80" w:after="80"/>
        <w:jc w:val="both"/>
      </w:pPr>
      <w:r>
        <w:t xml:space="preserve">gene: HGNC gene symbol | cohort: TCGA project identifier | </w:t>
      </w:r>
      <w:proofErr w:type="spellStart"/>
      <w:r>
        <w:t>baseMean</w:t>
      </w:r>
      <w:proofErr w:type="spellEnd"/>
      <w:r>
        <w:t xml:space="preserve">: mean normalized count across all samples | log2FoldChange: log2 fold change mutp53 vs wtp53 | </w:t>
      </w:r>
      <w:proofErr w:type="spellStart"/>
      <w:r>
        <w:t>lfcSE</w:t>
      </w:r>
      <w:proofErr w:type="spellEnd"/>
      <w:r>
        <w:t xml:space="preserve">: standard error of log2FoldChange | stat: Wald statistic | </w:t>
      </w:r>
      <w:proofErr w:type="spellStart"/>
      <w:r>
        <w:t>pvalue</w:t>
      </w:r>
      <w:proofErr w:type="spellEnd"/>
      <w:r>
        <w:t xml:space="preserve">: unadjusted p-value | </w:t>
      </w:r>
      <w:proofErr w:type="spellStart"/>
      <w:r>
        <w:t>padj</w:t>
      </w:r>
      <w:proofErr w:type="spellEnd"/>
      <w:r>
        <w:t xml:space="preserve">: Benjamini-Hochberg adjusted p-value | sig: TRUE if </w:t>
      </w:r>
      <w:proofErr w:type="spellStart"/>
      <w:r>
        <w:t>padj</w:t>
      </w:r>
      <w:proofErr w:type="spellEnd"/>
      <w:r>
        <w:t>&lt;0.05 and |log2FC|&gt;0.5 | direction: UP in mutp53 / DOWN in mutp53 / NS | lineage: Adenocarcinoma or Squamous/Other</w:t>
      </w:r>
    </w:p>
    <w:p w14:paraId="38F5C6BB" w14:textId="77777777" w:rsidR="00A44E67" w:rsidRDefault="00A44E67">
      <w:pPr>
        <w:spacing w:before="40" w:after="40"/>
      </w:pPr>
    </w:p>
    <w:p w14:paraId="47D5D378" w14:textId="77777777" w:rsidR="00A44E67" w:rsidRDefault="00A44E67">
      <w:pPr>
        <w:spacing w:before="40" w:after="40"/>
      </w:pPr>
    </w:p>
    <w:p w14:paraId="711E6CC5" w14:textId="77777777" w:rsidR="00A44E67" w:rsidRDefault="00000000">
      <w:pPr>
        <w:pStyle w:val="Heading2"/>
      </w:pPr>
      <w:r>
        <w:t>Table S2. Hotspot-Resolved DESeq2 Results</w:t>
      </w:r>
    </w:p>
    <w:p w14:paraId="373FBB07" w14:textId="77777777" w:rsidR="00A44E67" w:rsidRDefault="00A44E67">
      <w:pPr>
        <w:spacing w:before="40" w:after="40"/>
      </w:pPr>
    </w:p>
    <w:p w14:paraId="6F2EC742" w14:textId="77777777" w:rsidR="00A44E67" w:rsidRDefault="00A44E67">
      <w:pPr>
        <w:spacing w:before="40" w:after="40"/>
      </w:pPr>
    </w:p>
    <w:p w14:paraId="709F2416" w14:textId="77777777" w:rsidR="00A44E67" w:rsidRDefault="00000000">
      <w:pPr>
        <w:spacing w:before="80" w:after="80"/>
        <w:jc w:val="both"/>
      </w:pPr>
      <w:r>
        <w:rPr>
          <w:i/>
          <w:iCs/>
        </w:rPr>
        <w:t>Supplementary Table S2 is provided as a separate Microsoft Excel file (TableS2_Hotspot_DESeq2_Results.xlsx).</w:t>
      </w:r>
    </w:p>
    <w:p w14:paraId="24385C9A" w14:textId="77777777" w:rsidR="00A44E67" w:rsidRDefault="00A44E67">
      <w:pPr>
        <w:spacing w:before="40" w:after="40"/>
      </w:pPr>
    </w:p>
    <w:p w14:paraId="2145361F" w14:textId="77777777" w:rsidR="00A44E67" w:rsidRDefault="00000000">
      <w:pPr>
        <w:spacing w:before="80" w:after="80"/>
        <w:jc w:val="both"/>
      </w:pPr>
      <w:r>
        <w:rPr>
          <w:b/>
          <w:bCs/>
        </w:rPr>
        <w:t>Column descriptions:</w:t>
      </w:r>
    </w:p>
    <w:p w14:paraId="773A033F" w14:textId="77777777" w:rsidR="00A44E67" w:rsidRDefault="00000000">
      <w:pPr>
        <w:spacing w:before="80" w:after="80"/>
        <w:jc w:val="both"/>
      </w:pPr>
      <w:r>
        <w:t xml:space="preserve">gene: HGNC gene symbol | cohort: TCGA project identifier | hotspot: TP53 hotspot variant (R175H / R248W / R273H) | log2FoldChange: log2 fold change hotspot vs wtp53 | </w:t>
      </w:r>
      <w:proofErr w:type="spellStart"/>
      <w:r>
        <w:t>padj</w:t>
      </w:r>
      <w:proofErr w:type="spellEnd"/>
      <w:r>
        <w:t xml:space="preserve">: Benjamini-Hochberg adjusted p-value | </w:t>
      </w:r>
      <w:proofErr w:type="spellStart"/>
      <w:r>
        <w:t>n_hotspot</w:t>
      </w:r>
      <w:proofErr w:type="spellEnd"/>
      <w:r>
        <w:t xml:space="preserve">: sample size for hotspot group | n_wtp53: sample size for wtp53 group | lineage: Adenocarcinoma or Squamous/Other | sig: TRUE if </w:t>
      </w:r>
      <w:proofErr w:type="spellStart"/>
      <w:r>
        <w:t>padj</w:t>
      </w:r>
      <w:proofErr w:type="spellEnd"/>
      <w:r>
        <w:t xml:space="preserve">&lt;0.05 and |log2FC|&gt;0.5. Note: cohort-hotspot combinations with </w:t>
      </w:r>
      <w:proofErr w:type="spellStart"/>
      <w:r>
        <w:t>n_hotspot</w:t>
      </w:r>
      <w:proofErr w:type="spellEnd"/>
      <w:r>
        <w:t>&lt;5 were excluded from analysis and are not represented in this table.</w:t>
      </w:r>
    </w:p>
    <w:p w14:paraId="079B8CBD" w14:textId="77777777" w:rsidR="00A44E67" w:rsidRDefault="00A44E67">
      <w:pPr>
        <w:spacing w:before="40" w:after="40"/>
      </w:pPr>
    </w:p>
    <w:p w14:paraId="7572E415" w14:textId="77777777" w:rsidR="00A44E67" w:rsidRDefault="00A44E67">
      <w:pPr>
        <w:spacing w:before="40" w:after="40"/>
      </w:pPr>
    </w:p>
    <w:p w14:paraId="53A4E706" w14:textId="77777777" w:rsidR="00A44E67" w:rsidRDefault="00000000">
      <w:pPr>
        <w:pStyle w:val="Heading2"/>
      </w:pPr>
      <w:r>
        <w:t>Table S3. Complete Cox Regression Results</w:t>
      </w:r>
    </w:p>
    <w:p w14:paraId="783FB282" w14:textId="77777777" w:rsidR="00A44E67" w:rsidRDefault="00A44E67">
      <w:pPr>
        <w:spacing w:before="40" w:after="40"/>
      </w:pPr>
    </w:p>
    <w:p w14:paraId="0650E205" w14:textId="77777777" w:rsidR="00A44E67" w:rsidRDefault="00A44E67">
      <w:pPr>
        <w:spacing w:before="40" w:after="40"/>
      </w:pPr>
    </w:p>
    <w:p w14:paraId="67FB8EB7" w14:textId="77777777" w:rsidR="00A44E67" w:rsidRDefault="00000000">
      <w:pPr>
        <w:spacing w:before="80" w:after="80"/>
        <w:jc w:val="both"/>
      </w:pPr>
      <w:r>
        <w:rPr>
          <w:i/>
          <w:iCs/>
        </w:rPr>
        <w:t>Supplementary Table S3 is provided as a separate Microsoft Excel file (TableS3_Cox_Regression_Results.xlsx).</w:t>
      </w:r>
    </w:p>
    <w:p w14:paraId="389EE576" w14:textId="77777777" w:rsidR="00A44E67" w:rsidRDefault="00A44E67">
      <w:pPr>
        <w:spacing w:before="40" w:after="40"/>
      </w:pPr>
    </w:p>
    <w:p w14:paraId="42D5B7AF" w14:textId="77777777" w:rsidR="00A44E67" w:rsidRDefault="00000000">
      <w:pPr>
        <w:spacing w:before="80" w:after="80"/>
        <w:jc w:val="both"/>
      </w:pPr>
      <w:r>
        <w:rPr>
          <w:b/>
          <w:bCs/>
        </w:rPr>
        <w:t>Column descriptions:</w:t>
      </w:r>
    </w:p>
    <w:p w14:paraId="1BF489EC" w14:textId="77777777" w:rsidR="00A44E67" w:rsidRDefault="00000000">
      <w:pPr>
        <w:spacing w:before="80" w:after="80"/>
        <w:jc w:val="both"/>
      </w:pPr>
      <w:r>
        <w:lastRenderedPageBreak/>
        <w:t xml:space="preserve">gene: HGNC gene symbol | cohort: TCGA project identifier | term: regression term (expr = continuous gene expression; tp53_statusmutp53 = binary mutp53 status) | estimate: hazard ratio (exponentiated) | </w:t>
      </w:r>
      <w:proofErr w:type="spellStart"/>
      <w:r>
        <w:t>std.error</w:t>
      </w:r>
      <w:proofErr w:type="spellEnd"/>
      <w:r>
        <w:t xml:space="preserve">: standard error | statistic: Wald statistic | </w:t>
      </w:r>
      <w:proofErr w:type="spellStart"/>
      <w:r>
        <w:t>p.value</w:t>
      </w:r>
      <w:proofErr w:type="spellEnd"/>
      <w:r>
        <w:t xml:space="preserve">: unadjusted p-value | </w:t>
      </w:r>
      <w:proofErr w:type="spellStart"/>
      <w:r>
        <w:t>conf.low</w:t>
      </w:r>
      <w:proofErr w:type="spellEnd"/>
      <w:r>
        <w:t xml:space="preserve">: lower 95% CI of HR | </w:t>
      </w:r>
      <w:proofErr w:type="spellStart"/>
      <w:r>
        <w:t>conf.high</w:t>
      </w:r>
      <w:proofErr w:type="spellEnd"/>
      <w:r>
        <w:t>: upper 95% CI of HR | lineage: Adenocarcinoma or Squamous/Other</w:t>
      </w:r>
    </w:p>
    <w:p w14:paraId="0F5BD1F1" w14:textId="77777777" w:rsidR="00A44E67" w:rsidRDefault="00A44E67">
      <w:pPr>
        <w:spacing w:before="40" w:after="40"/>
      </w:pPr>
    </w:p>
    <w:p w14:paraId="5091CEA9" w14:textId="77777777" w:rsidR="00A44E67" w:rsidRDefault="00A44E67">
      <w:pPr>
        <w:spacing w:before="40" w:after="40"/>
      </w:pPr>
    </w:p>
    <w:p w14:paraId="04B20782" w14:textId="77777777" w:rsidR="00A44E67" w:rsidRDefault="00000000">
      <w:pPr>
        <w:pStyle w:val="Heading2"/>
      </w:pPr>
      <w:r>
        <w:t>Table S4. CCLE Wilcoxon Test Results</w:t>
      </w:r>
    </w:p>
    <w:p w14:paraId="3CD6BF19" w14:textId="77777777" w:rsidR="00A44E67" w:rsidRDefault="00A44E67">
      <w:pPr>
        <w:spacing w:before="40" w:after="40"/>
      </w:pPr>
    </w:p>
    <w:p w14:paraId="36A00755" w14:textId="77777777" w:rsidR="00A44E67" w:rsidRDefault="00A44E67">
      <w:pPr>
        <w:spacing w:before="40" w:after="40"/>
      </w:pPr>
    </w:p>
    <w:p w14:paraId="34460AB7" w14:textId="77777777" w:rsidR="00A44E67" w:rsidRDefault="00000000">
      <w:pPr>
        <w:spacing w:before="80" w:after="80"/>
        <w:jc w:val="both"/>
      </w:pPr>
      <w:r>
        <w:rPr>
          <w:i/>
          <w:iCs/>
        </w:rPr>
        <w:t>Supplementary Table S4 is provided as a separate Microsoft Excel file (TableS4_CCLE_Validation_Results.xlsx).</w:t>
      </w:r>
    </w:p>
    <w:p w14:paraId="7E15E937" w14:textId="77777777" w:rsidR="00A44E67" w:rsidRDefault="00A44E67">
      <w:pPr>
        <w:spacing w:before="40" w:after="40"/>
      </w:pPr>
    </w:p>
    <w:p w14:paraId="29A0E1E9" w14:textId="77777777" w:rsidR="00A44E67" w:rsidRDefault="00000000">
      <w:pPr>
        <w:spacing w:before="80" w:after="80"/>
        <w:jc w:val="both"/>
      </w:pPr>
      <w:r>
        <w:rPr>
          <w:b/>
          <w:bCs/>
        </w:rPr>
        <w:t>Column descriptions:</w:t>
      </w:r>
    </w:p>
    <w:p w14:paraId="1C077619" w14:textId="77777777" w:rsidR="00A44E67" w:rsidRDefault="00000000">
      <w:pPr>
        <w:spacing w:before="80" w:after="80"/>
        <w:jc w:val="both"/>
      </w:pPr>
      <w:r>
        <w:t xml:space="preserve">gene: HGNC gene symbol | </w:t>
      </w:r>
      <w:proofErr w:type="spellStart"/>
      <w:r>
        <w:t>OncotreeLineage</w:t>
      </w:r>
      <w:proofErr w:type="spellEnd"/>
      <w:r>
        <w:t xml:space="preserve">: </w:t>
      </w:r>
      <w:proofErr w:type="spellStart"/>
      <w:r>
        <w:t>DepMap</w:t>
      </w:r>
      <w:proofErr w:type="spellEnd"/>
      <w:r>
        <w:t xml:space="preserve">/CCLE cancer lineage category | </w:t>
      </w:r>
      <w:proofErr w:type="spellStart"/>
      <w:r>
        <w:t>n_mut</w:t>
      </w:r>
      <w:proofErr w:type="spellEnd"/>
      <w:r>
        <w:t xml:space="preserve">: number of mutp53 cell lines | </w:t>
      </w:r>
      <w:proofErr w:type="spellStart"/>
      <w:r>
        <w:t>n_wt</w:t>
      </w:r>
      <w:proofErr w:type="spellEnd"/>
      <w:r>
        <w:t xml:space="preserve">: number of wtp53 cell lines | </w:t>
      </w:r>
      <w:proofErr w:type="spellStart"/>
      <w:r>
        <w:t>wtest_p</w:t>
      </w:r>
      <w:proofErr w:type="spellEnd"/>
      <w:r>
        <w:t xml:space="preserve">: Wilcoxon rank-sum test unadjusted p-value | </w:t>
      </w:r>
      <w:proofErr w:type="spellStart"/>
      <w:r>
        <w:t>median_mut</w:t>
      </w:r>
      <w:proofErr w:type="spellEnd"/>
      <w:r>
        <w:t xml:space="preserve">: median TPM log+1 expression in mutp53 lines | </w:t>
      </w:r>
      <w:proofErr w:type="spellStart"/>
      <w:r>
        <w:t>median_wt</w:t>
      </w:r>
      <w:proofErr w:type="spellEnd"/>
      <w:r>
        <w:t xml:space="preserve">: median TPM log+1 expression in wtp53 lines | delta: </w:t>
      </w:r>
      <w:proofErr w:type="spellStart"/>
      <w:r>
        <w:t>median_mut</w:t>
      </w:r>
      <w:proofErr w:type="spellEnd"/>
      <w:r>
        <w:t xml:space="preserve"> minus </w:t>
      </w:r>
      <w:proofErr w:type="spellStart"/>
      <w:r>
        <w:t>median_wt</w:t>
      </w:r>
      <w:proofErr w:type="spellEnd"/>
      <w:r>
        <w:t xml:space="preserve"> | </w:t>
      </w:r>
      <w:proofErr w:type="spellStart"/>
      <w:r>
        <w:t>padj</w:t>
      </w:r>
      <w:proofErr w:type="spellEnd"/>
      <w:r>
        <w:t xml:space="preserve">: Benjamini-Hochberg adjusted p-value | sig: TRUE if </w:t>
      </w:r>
      <w:proofErr w:type="spellStart"/>
      <w:r>
        <w:t>padj</w:t>
      </w:r>
      <w:proofErr w:type="spellEnd"/>
      <w:r>
        <w:t xml:space="preserve">&lt;0.05 and |delta|&gt;0.1. Analysis based on </w:t>
      </w:r>
      <w:proofErr w:type="spellStart"/>
      <w:r>
        <w:t>DepMap</w:t>
      </w:r>
      <w:proofErr w:type="spellEnd"/>
      <w:r>
        <w:t xml:space="preserve"> 2024Q2 release; n=675 mutp53 lines and n=1,009 wtp53 lines across 24 lineages.</w:t>
      </w:r>
    </w:p>
    <w:p w14:paraId="654A5760" w14:textId="77777777" w:rsidR="00A44E67" w:rsidRDefault="00A44E67">
      <w:pPr>
        <w:spacing w:before="40" w:after="40"/>
      </w:pPr>
    </w:p>
    <w:p w14:paraId="7006E3DA" w14:textId="77777777" w:rsidR="00A44E67" w:rsidRDefault="00A44E67">
      <w:pPr>
        <w:spacing w:before="40" w:after="40"/>
      </w:pPr>
    </w:p>
    <w:p w14:paraId="53600433" w14:textId="77777777" w:rsidR="00A44E67" w:rsidRDefault="00000000">
      <w:pPr>
        <w:pStyle w:val="Heading2"/>
      </w:pPr>
      <w:r>
        <w:t xml:space="preserve">Table S5. </w:t>
      </w:r>
      <w:proofErr w:type="spellStart"/>
      <w:r>
        <w:t>ssGSEA</w:t>
      </w:r>
      <w:proofErr w:type="spellEnd"/>
      <w:r>
        <w:t xml:space="preserve"> Enrichment Scores</w:t>
      </w:r>
    </w:p>
    <w:p w14:paraId="258E08D9" w14:textId="77777777" w:rsidR="00A44E67" w:rsidRDefault="00A44E67">
      <w:pPr>
        <w:spacing w:before="40" w:after="40"/>
      </w:pPr>
    </w:p>
    <w:p w14:paraId="02DD55E2" w14:textId="77777777" w:rsidR="00A44E67" w:rsidRDefault="00A44E67">
      <w:pPr>
        <w:spacing w:before="40" w:after="40"/>
      </w:pPr>
    </w:p>
    <w:p w14:paraId="00346445" w14:textId="77777777" w:rsidR="00A44E67" w:rsidRDefault="00000000">
      <w:pPr>
        <w:spacing w:before="80" w:after="80"/>
        <w:jc w:val="both"/>
      </w:pPr>
      <w:r>
        <w:rPr>
          <w:i/>
          <w:iCs/>
        </w:rPr>
        <w:t>Supplementary Table S5 is provided as a separate Microsoft Excel file (TableS5_ssGSEA_Enrichment_Scores.xlsx).</w:t>
      </w:r>
    </w:p>
    <w:p w14:paraId="74F76223" w14:textId="77777777" w:rsidR="00A44E67" w:rsidRDefault="00A44E67">
      <w:pPr>
        <w:spacing w:before="40" w:after="40"/>
      </w:pPr>
    </w:p>
    <w:p w14:paraId="517CDCF5" w14:textId="77777777" w:rsidR="00A44E67" w:rsidRDefault="00000000">
      <w:pPr>
        <w:spacing w:before="80" w:after="80"/>
        <w:jc w:val="both"/>
      </w:pPr>
      <w:r>
        <w:rPr>
          <w:b/>
          <w:bCs/>
        </w:rPr>
        <w:t>Column descriptions:</w:t>
      </w:r>
    </w:p>
    <w:p w14:paraId="3E358396" w14:textId="77777777" w:rsidR="00A44E67" w:rsidRDefault="00000000">
      <w:pPr>
        <w:spacing w:before="80" w:after="80"/>
        <w:jc w:val="both"/>
      </w:pPr>
      <w:r>
        <w:t xml:space="preserve">pathway: </w:t>
      </w:r>
      <w:proofErr w:type="spellStart"/>
      <w:r>
        <w:t>MSigDB</w:t>
      </w:r>
      <w:proofErr w:type="spellEnd"/>
      <w:r>
        <w:t xml:space="preserve"> gene set name | cohort: TCGA project identifier | </w:t>
      </w:r>
      <w:proofErr w:type="spellStart"/>
      <w:r>
        <w:t>delta_nES</w:t>
      </w:r>
      <w:proofErr w:type="spellEnd"/>
      <w:r>
        <w:t xml:space="preserve">: mean normalized enrichment score in mutp53 minus mean in wtp53 | </w:t>
      </w:r>
      <w:proofErr w:type="spellStart"/>
      <w:r>
        <w:t>pval</w:t>
      </w:r>
      <w:proofErr w:type="spellEnd"/>
      <w:r>
        <w:t xml:space="preserve">: Wilcoxon rank-sum test p-value | </w:t>
      </w:r>
      <w:proofErr w:type="spellStart"/>
      <w:r>
        <w:t>padj</w:t>
      </w:r>
      <w:proofErr w:type="spellEnd"/>
      <w:r>
        <w:t xml:space="preserve">: Benjamini-Hochberg adjusted p-value | sig: TRUE if </w:t>
      </w:r>
      <w:proofErr w:type="spellStart"/>
      <w:r>
        <w:t>padj</w:t>
      </w:r>
      <w:proofErr w:type="spellEnd"/>
      <w:r>
        <w:t>&lt;0.05 | lineage: Adenocarcinoma or Squamous/Other. Gene sets used: HALLMARK_APOPTOSIS (</w:t>
      </w:r>
      <w:proofErr w:type="spellStart"/>
      <w:r>
        <w:t>MSigDB</w:t>
      </w:r>
      <w:proofErr w:type="spellEnd"/>
      <w:r>
        <w:t xml:space="preserve"> H collection) and KEGG_APOPTOSIS (</w:t>
      </w:r>
      <w:proofErr w:type="spellStart"/>
      <w:r>
        <w:t>MSigDB</w:t>
      </w:r>
      <w:proofErr w:type="spellEnd"/>
      <w:r>
        <w:t xml:space="preserve"> C2:CP:KEGG_LEGACY collection). </w:t>
      </w:r>
      <w:proofErr w:type="spellStart"/>
      <w:r>
        <w:t>ssGSEA</w:t>
      </w:r>
      <w:proofErr w:type="spellEnd"/>
      <w:r>
        <w:t xml:space="preserve"> performed using GSVA v1.54 with </w:t>
      </w:r>
      <w:proofErr w:type="spellStart"/>
      <w:r>
        <w:t>kcdf</w:t>
      </w:r>
      <w:proofErr w:type="spellEnd"/>
      <w:r>
        <w:t>=Gaussian parameter.</w:t>
      </w:r>
    </w:p>
    <w:p w14:paraId="2605F081" w14:textId="77777777" w:rsidR="00A44E67" w:rsidRDefault="00A44E67">
      <w:pPr>
        <w:spacing w:before="40" w:after="40"/>
      </w:pPr>
    </w:p>
    <w:p w14:paraId="4CE844A0" w14:textId="77777777" w:rsidR="00A44E67" w:rsidRDefault="00A44E67">
      <w:pPr>
        <w:spacing w:before="40" w:after="40"/>
      </w:pPr>
    </w:p>
    <w:p w14:paraId="059D9E12" w14:textId="77777777" w:rsidR="00A44E67" w:rsidRDefault="00000000">
      <w:pPr>
        <w:pStyle w:val="Heading2"/>
      </w:pPr>
      <w:r>
        <w:t>Table S6. Caspase Regulatory Network Gene Set Definition</w:t>
      </w:r>
    </w:p>
    <w:p w14:paraId="0AC5DA41" w14:textId="77777777" w:rsidR="00A44E67" w:rsidRDefault="00A44E67">
      <w:pPr>
        <w:spacing w:before="40" w:after="40"/>
      </w:pPr>
    </w:p>
    <w:p w14:paraId="6352AE8D" w14:textId="77777777" w:rsidR="00A44E67" w:rsidRDefault="00000000">
      <w:pPr>
        <w:spacing w:before="80" w:after="80"/>
        <w:jc w:val="both"/>
      </w:pPr>
      <w:r>
        <w:rPr>
          <w:i/>
          <w:iCs/>
        </w:rPr>
        <w:lastRenderedPageBreak/>
        <w:t xml:space="preserve">The 34-gene caspase regulatory network </w:t>
      </w:r>
      <w:proofErr w:type="spellStart"/>
      <w:r>
        <w:rPr>
          <w:i/>
          <w:iCs/>
        </w:rPr>
        <w:t>analyzed</w:t>
      </w:r>
      <w:proofErr w:type="spellEnd"/>
      <w:r>
        <w:rPr>
          <w:i/>
          <w:iCs/>
        </w:rPr>
        <w:t xml:space="preserve"> in this study is defined below, with functional annotations and known roles in p53-dependent apoptosis </w:t>
      </w:r>
      <w:proofErr w:type="spellStart"/>
      <w:r>
        <w:rPr>
          <w:i/>
          <w:iCs/>
        </w:rPr>
        <w:t>signaling</w:t>
      </w:r>
      <w:proofErr w:type="spellEnd"/>
      <w:r>
        <w:rPr>
          <w:i/>
          <w:iCs/>
        </w:rPr>
        <w:t>.</w:t>
      </w:r>
    </w:p>
    <w:p w14:paraId="75FF473D" w14:textId="77777777" w:rsidR="00A44E67" w:rsidRDefault="00A44E67">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88"/>
        <w:gridCol w:w="1541"/>
        <w:gridCol w:w="2510"/>
        <w:gridCol w:w="4021"/>
      </w:tblGrid>
      <w:tr w:rsidR="00A44E67" w14:paraId="285A1D89"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D5CDE34" w14:textId="77777777" w:rsidR="00A44E67" w:rsidRDefault="00000000">
            <w:r>
              <w:rPr>
                <w:b/>
                <w:bCs/>
                <w:sz w:val="20"/>
                <w:szCs w:val="20"/>
              </w:rPr>
              <w:t>Gene symbol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EC55239" w14:textId="77777777" w:rsidR="00A44E67" w:rsidRDefault="00000000">
            <w:r>
              <w:rPr>
                <w:b/>
                <w:bCs/>
                <w:sz w:val="20"/>
                <w:szCs w:val="20"/>
              </w:rPr>
              <w:t>Layer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2F02CAD" w14:textId="77777777" w:rsidR="00A44E67" w:rsidRDefault="00000000">
            <w:r>
              <w:rPr>
                <w:b/>
                <w:bCs/>
                <w:sz w:val="20"/>
                <w:szCs w:val="20"/>
              </w:rPr>
              <w:t>Full name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2EEA5C3" w14:textId="77777777" w:rsidR="00A44E67" w:rsidRDefault="00000000">
            <w:r>
              <w:rPr>
                <w:b/>
                <w:bCs/>
                <w:sz w:val="20"/>
                <w:szCs w:val="20"/>
              </w:rPr>
              <w:t xml:space="preserve">Role in p53/caspase </w:t>
            </w:r>
            <w:proofErr w:type="spellStart"/>
            <w:r>
              <w:rPr>
                <w:b/>
                <w:bCs/>
                <w:sz w:val="20"/>
                <w:szCs w:val="20"/>
              </w:rPr>
              <w:t>signaling</w:t>
            </w:r>
            <w:proofErr w:type="spellEnd"/>
          </w:p>
        </w:tc>
      </w:tr>
      <w:tr w:rsidR="00A44E67" w14:paraId="065B9619"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42BC645" w14:textId="77777777" w:rsidR="00A44E67" w:rsidRDefault="00000000">
            <w:r>
              <w:rPr>
                <w:sz w:val="20"/>
                <w:szCs w:val="20"/>
              </w:rPr>
              <w:t>CASP2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E621311" w14:textId="77777777" w:rsidR="00A44E67" w:rsidRDefault="00000000">
            <w:r>
              <w:rPr>
                <w:sz w:val="20"/>
                <w:szCs w:val="20"/>
              </w:rPr>
              <w:t>Initiator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3825063" w14:textId="77777777" w:rsidR="00A44E67" w:rsidRDefault="00000000">
            <w:r>
              <w:rPr>
                <w:sz w:val="20"/>
                <w:szCs w:val="20"/>
              </w:rPr>
              <w:t>Caspase-2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952BE4E" w14:textId="77777777" w:rsidR="00A44E67" w:rsidRDefault="00000000">
            <w:r>
              <w:rPr>
                <w:sz w:val="20"/>
                <w:szCs w:val="20"/>
              </w:rPr>
              <w:t xml:space="preserve">Activated via </w:t>
            </w:r>
            <w:proofErr w:type="spellStart"/>
            <w:r>
              <w:rPr>
                <w:sz w:val="20"/>
                <w:szCs w:val="20"/>
              </w:rPr>
              <w:t>PIDDosome</w:t>
            </w:r>
            <w:proofErr w:type="spellEnd"/>
            <w:r>
              <w:rPr>
                <w:sz w:val="20"/>
                <w:szCs w:val="20"/>
              </w:rPr>
              <w:t xml:space="preserve"> in response to p53; initiates apoptosis under nucleolar stress</w:t>
            </w:r>
          </w:p>
        </w:tc>
      </w:tr>
      <w:tr w:rsidR="00A44E67" w14:paraId="449898A5"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299F5CF" w14:textId="77777777" w:rsidR="00A44E67" w:rsidRDefault="00000000">
            <w:r>
              <w:rPr>
                <w:sz w:val="20"/>
                <w:szCs w:val="20"/>
              </w:rPr>
              <w:t>CASP8</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777A691" w14:textId="77777777" w:rsidR="00A44E67" w:rsidRDefault="00000000">
            <w:r>
              <w:rPr>
                <w:sz w:val="20"/>
                <w:szCs w:val="20"/>
              </w:rPr>
              <w:t>Initiator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43DF47F" w14:textId="77777777" w:rsidR="00A44E67" w:rsidRDefault="00000000">
            <w:r>
              <w:rPr>
                <w:sz w:val="20"/>
                <w:szCs w:val="20"/>
              </w:rPr>
              <w:t>Caspase-8</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7D9AB98" w14:textId="77777777" w:rsidR="00A44E67" w:rsidRDefault="00000000">
            <w:r>
              <w:rPr>
                <w:sz w:val="20"/>
                <w:szCs w:val="20"/>
              </w:rPr>
              <w:t>Activated by death receptors (FAS, DR4, DR5); direct p53 transcriptional target</w:t>
            </w:r>
          </w:p>
        </w:tc>
      </w:tr>
      <w:tr w:rsidR="00A44E67" w14:paraId="22EB0DD9"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D24D526" w14:textId="77777777" w:rsidR="00A44E67" w:rsidRDefault="00000000">
            <w:r>
              <w:rPr>
                <w:sz w:val="20"/>
                <w:szCs w:val="20"/>
              </w:rPr>
              <w:t>CASP9</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911D929" w14:textId="77777777" w:rsidR="00A44E67" w:rsidRDefault="00000000">
            <w:r>
              <w:rPr>
                <w:sz w:val="20"/>
                <w:szCs w:val="20"/>
              </w:rPr>
              <w:t>Initiator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CC4E93D" w14:textId="77777777" w:rsidR="00A44E67" w:rsidRDefault="00000000">
            <w:r>
              <w:rPr>
                <w:sz w:val="20"/>
                <w:szCs w:val="20"/>
              </w:rPr>
              <w:t>Caspase-9</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934A000" w14:textId="77777777" w:rsidR="00A44E67" w:rsidRDefault="00000000">
            <w:r>
              <w:rPr>
                <w:sz w:val="20"/>
                <w:szCs w:val="20"/>
              </w:rPr>
              <w:t xml:space="preserve">Activated by </w:t>
            </w:r>
            <w:proofErr w:type="spellStart"/>
            <w:r>
              <w:rPr>
                <w:sz w:val="20"/>
                <w:szCs w:val="20"/>
              </w:rPr>
              <w:t>apoptosome</w:t>
            </w:r>
            <w:proofErr w:type="spellEnd"/>
            <w:r>
              <w:rPr>
                <w:sz w:val="20"/>
                <w:szCs w:val="20"/>
              </w:rPr>
              <w:t xml:space="preserve"> (APAF1/cytochrome c); central mitochondrial pathway node</w:t>
            </w:r>
          </w:p>
        </w:tc>
      </w:tr>
      <w:tr w:rsidR="00A44E67" w14:paraId="2A28ED12"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E7EFC40" w14:textId="77777777" w:rsidR="00A44E67" w:rsidRDefault="00000000">
            <w:r>
              <w:rPr>
                <w:sz w:val="20"/>
                <w:szCs w:val="20"/>
              </w:rPr>
              <w:t>CASP10</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89FE27D" w14:textId="77777777" w:rsidR="00A44E67" w:rsidRDefault="00000000">
            <w:r>
              <w:rPr>
                <w:sz w:val="20"/>
                <w:szCs w:val="20"/>
              </w:rPr>
              <w:t>Initiator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8C0BAF1" w14:textId="77777777" w:rsidR="00A44E67" w:rsidRDefault="00000000">
            <w:r>
              <w:rPr>
                <w:sz w:val="20"/>
                <w:szCs w:val="20"/>
              </w:rPr>
              <w:t>Caspase-10</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4D067BF" w14:textId="77777777" w:rsidR="00A44E67" w:rsidRDefault="00000000">
            <w:r>
              <w:rPr>
                <w:sz w:val="20"/>
                <w:szCs w:val="20"/>
              </w:rPr>
              <w:t>Extrinsic pathway initiator; paralog of CASP8</w:t>
            </w:r>
          </w:p>
        </w:tc>
      </w:tr>
      <w:tr w:rsidR="00A44E67" w14:paraId="13A717B4"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F1B877A" w14:textId="77777777" w:rsidR="00A44E67" w:rsidRDefault="00000000">
            <w:r>
              <w:rPr>
                <w:sz w:val="20"/>
                <w:szCs w:val="20"/>
              </w:rPr>
              <w:t>CASP3</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E295F82" w14:textId="77777777" w:rsidR="00A44E67" w:rsidRDefault="00000000">
            <w:r>
              <w:rPr>
                <w:sz w:val="20"/>
                <w:szCs w:val="20"/>
              </w:rPr>
              <w:t>Executioner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441F8BB" w14:textId="77777777" w:rsidR="00A44E67" w:rsidRDefault="00000000">
            <w:r>
              <w:rPr>
                <w:sz w:val="20"/>
                <w:szCs w:val="20"/>
              </w:rPr>
              <w:t>Caspase-3</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1F01D77" w14:textId="77777777" w:rsidR="00A44E67" w:rsidRDefault="00000000">
            <w:r>
              <w:rPr>
                <w:sz w:val="20"/>
                <w:szCs w:val="20"/>
              </w:rPr>
              <w:t xml:space="preserve">Primary executioner; cleaves PARP, </w:t>
            </w:r>
            <w:proofErr w:type="spellStart"/>
            <w:r>
              <w:rPr>
                <w:sz w:val="20"/>
                <w:szCs w:val="20"/>
              </w:rPr>
              <w:t>lamins</w:t>
            </w:r>
            <w:proofErr w:type="spellEnd"/>
            <w:r>
              <w:rPr>
                <w:sz w:val="20"/>
                <w:szCs w:val="20"/>
              </w:rPr>
              <w:t>; inhibited by XIAP</w:t>
            </w:r>
          </w:p>
        </w:tc>
      </w:tr>
      <w:tr w:rsidR="00A44E67" w14:paraId="5E032E16"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C451415" w14:textId="77777777" w:rsidR="00A44E67" w:rsidRDefault="00000000">
            <w:r>
              <w:rPr>
                <w:sz w:val="20"/>
                <w:szCs w:val="20"/>
              </w:rPr>
              <w:t>CASP6</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1202C3D" w14:textId="77777777" w:rsidR="00A44E67" w:rsidRDefault="00000000">
            <w:r>
              <w:rPr>
                <w:sz w:val="20"/>
                <w:szCs w:val="20"/>
              </w:rPr>
              <w:t>Executioner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A4E0C5B" w14:textId="77777777" w:rsidR="00A44E67" w:rsidRDefault="00000000">
            <w:r>
              <w:rPr>
                <w:sz w:val="20"/>
                <w:szCs w:val="20"/>
              </w:rPr>
              <w:t>Caspase-6</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F3CE3FC" w14:textId="77777777" w:rsidR="00A44E67" w:rsidRDefault="00000000">
            <w:r>
              <w:rPr>
                <w:sz w:val="20"/>
                <w:szCs w:val="20"/>
              </w:rPr>
              <w:t xml:space="preserve">Executioner; cleaves nuclear </w:t>
            </w:r>
            <w:proofErr w:type="spellStart"/>
            <w:r>
              <w:rPr>
                <w:sz w:val="20"/>
                <w:szCs w:val="20"/>
              </w:rPr>
              <w:t>lamins</w:t>
            </w:r>
            <w:proofErr w:type="spellEnd"/>
            <w:r>
              <w:rPr>
                <w:sz w:val="20"/>
                <w:szCs w:val="20"/>
              </w:rPr>
              <w:t>; activated downstream of CASP3</w:t>
            </w:r>
          </w:p>
        </w:tc>
      </w:tr>
      <w:tr w:rsidR="00A44E67" w14:paraId="35BDDC4E"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B0BDF6E" w14:textId="77777777" w:rsidR="00A44E67" w:rsidRDefault="00000000">
            <w:r>
              <w:rPr>
                <w:sz w:val="20"/>
                <w:szCs w:val="20"/>
              </w:rPr>
              <w:t>CASP7</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18745D8" w14:textId="77777777" w:rsidR="00A44E67" w:rsidRDefault="00000000">
            <w:r>
              <w:rPr>
                <w:sz w:val="20"/>
                <w:szCs w:val="20"/>
              </w:rPr>
              <w:t>Executioner caspase</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D8F42DD" w14:textId="77777777" w:rsidR="00A44E67" w:rsidRDefault="00000000">
            <w:r>
              <w:rPr>
                <w:sz w:val="20"/>
                <w:szCs w:val="20"/>
              </w:rPr>
              <w:t>Caspase-7</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C04F87F" w14:textId="77777777" w:rsidR="00A44E67" w:rsidRDefault="00000000">
            <w:r>
              <w:rPr>
                <w:sz w:val="20"/>
                <w:szCs w:val="20"/>
              </w:rPr>
              <w:t>Executioner; activated by CASP9; inhibited by XIAP; nucleolar stress arm target</w:t>
            </w:r>
          </w:p>
        </w:tc>
      </w:tr>
      <w:tr w:rsidR="00A44E67" w14:paraId="058C7A94"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FB970B4" w14:textId="77777777" w:rsidR="00A44E67" w:rsidRDefault="00000000">
            <w:r>
              <w:rPr>
                <w:sz w:val="20"/>
                <w:szCs w:val="20"/>
              </w:rPr>
              <w:t>PIDD1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8259777" w14:textId="77777777" w:rsidR="00A44E67" w:rsidRDefault="00000000">
            <w:proofErr w:type="spellStart"/>
            <w:r>
              <w:rPr>
                <w:sz w:val="20"/>
                <w:szCs w:val="20"/>
              </w:rPr>
              <w:t>PIDDosome</w:t>
            </w:r>
            <w:proofErr w:type="spellEnd"/>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5305D2F" w14:textId="77777777" w:rsidR="00A44E67" w:rsidRDefault="00000000">
            <w:r>
              <w:rPr>
                <w:sz w:val="20"/>
                <w:szCs w:val="20"/>
              </w:rPr>
              <w:t>p53-induced death domain protein 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B73D3AD" w14:textId="77777777" w:rsidR="00A44E67" w:rsidRDefault="00000000">
            <w:r>
              <w:rPr>
                <w:sz w:val="20"/>
                <w:szCs w:val="20"/>
              </w:rPr>
              <w:t xml:space="preserve">Direct p53 transcriptional target; scaffolds </w:t>
            </w:r>
            <w:proofErr w:type="spellStart"/>
            <w:r>
              <w:rPr>
                <w:sz w:val="20"/>
                <w:szCs w:val="20"/>
              </w:rPr>
              <w:t>PIDDosome</w:t>
            </w:r>
            <w:proofErr w:type="spellEnd"/>
            <w:r>
              <w:rPr>
                <w:sz w:val="20"/>
                <w:szCs w:val="20"/>
              </w:rPr>
              <w:t xml:space="preserve"> complex; activates CASP2</w:t>
            </w:r>
          </w:p>
        </w:tc>
      </w:tr>
      <w:tr w:rsidR="00A44E67" w14:paraId="71861EBD"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947345D" w14:textId="77777777" w:rsidR="00A44E67" w:rsidRDefault="00000000">
            <w:r>
              <w:rPr>
                <w:sz w:val="20"/>
                <w:szCs w:val="20"/>
              </w:rPr>
              <w:t>CRADD</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BB0C142" w14:textId="77777777" w:rsidR="00A44E67" w:rsidRDefault="00000000">
            <w:proofErr w:type="spellStart"/>
            <w:r>
              <w:rPr>
                <w:sz w:val="20"/>
                <w:szCs w:val="20"/>
              </w:rPr>
              <w:t>PIDDosome</w:t>
            </w:r>
            <w:proofErr w:type="spellEnd"/>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6F2C2FE" w14:textId="77777777" w:rsidR="00A44E67" w:rsidRDefault="00000000">
            <w:r>
              <w:rPr>
                <w:sz w:val="20"/>
                <w:szCs w:val="20"/>
              </w:rPr>
              <w:t>Death domain-containing protein CRADD/RAIDD</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A2F3EBA" w14:textId="77777777" w:rsidR="00A44E67" w:rsidRDefault="00000000">
            <w:r>
              <w:rPr>
                <w:sz w:val="20"/>
                <w:szCs w:val="20"/>
              </w:rPr>
              <w:t xml:space="preserve">Adaptor in </w:t>
            </w:r>
            <w:proofErr w:type="spellStart"/>
            <w:r>
              <w:rPr>
                <w:sz w:val="20"/>
                <w:szCs w:val="20"/>
              </w:rPr>
              <w:t>PIDDosome</w:t>
            </w:r>
            <w:proofErr w:type="spellEnd"/>
            <w:r>
              <w:rPr>
                <w:sz w:val="20"/>
                <w:szCs w:val="20"/>
              </w:rPr>
              <w:t>; bridges PIDD1 to CASP2</w:t>
            </w:r>
          </w:p>
        </w:tc>
      </w:tr>
      <w:tr w:rsidR="00A44E67" w14:paraId="0802726A"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1562934" w14:textId="77777777" w:rsidR="00A44E67" w:rsidRDefault="00000000">
            <w:r>
              <w:rPr>
                <w:sz w:val="20"/>
                <w:szCs w:val="20"/>
              </w:rPr>
              <w:t>CFLAR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1778323" w14:textId="77777777" w:rsidR="00A44E67" w:rsidRDefault="00000000">
            <w:r>
              <w:rPr>
                <w:sz w:val="20"/>
                <w:szCs w:val="20"/>
              </w:rPr>
              <w:t>Pseudo-caspase/FLIP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0EEA7FE" w14:textId="77777777" w:rsidR="00A44E67" w:rsidRDefault="00000000">
            <w:r>
              <w:rPr>
                <w:sz w:val="20"/>
                <w:szCs w:val="20"/>
              </w:rPr>
              <w:t>CASP8 and FADD-like apoptosis regulator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EAF5951" w14:textId="77777777" w:rsidR="00A44E67" w:rsidRDefault="00000000">
            <w:r>
              <w:rPr>
                <w:sz w:val="20"/>
                <w:szCs w:val="20"/>
              </w:rPr>
              <w:t>Direct p53 transcriptional target; controls arrest-vs-apoptosis switch; inhibits CASP8</w:t>
            </w:r>
          </w:p>
        </w:tc>
      </w:tr>
      <w:tr w:rsidR="00A44E67" w14:paraId="73A2E446"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0EC005B" w14:textId="77777777" w:rsidR="00A44E67" w:rsidRDefault="00000000">
            <w:r>
              <w:rPr>
                <w:sz w:val="20"/>
                <w:szCs w:val="20"/>
              </w:rPr>
              <w:t>TNFRSF10A</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8D69792" w14:textId="77777777" w:rsidR="00A44E67" w:rsidRDefault="00000000">
            <w:r>
              <w:rPr>
                <w:sz w:val="20"/>
                <w:szCs w:val="20"/>
              </w:rPr>
              <w:t>Death receptor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B81A730" w14:textId="77777777" w:rsidR="00A44E67" w:rsidRDefault="00000000">
            <w:r>
              <w:rPr>
                <w:sz w:val="20"/>
                <w:szCs w:val="20"/>
              </w:rPr>
              <w:t>DR4/TRAIL-R1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7F7AC88" w14:textId="77777777" w:rsidR="00A44E67" w:rsidRDefault="00000000">
            <w:r>
              <w:rPr>
                <w:sz w:val="20"/>
                <w:szCs w:val="20"/>
              </w:rPr>
              <w:t>Direct p53 transcriptional target; binds TRAIL; activates extrinsic pathway</w:t>
            </w:r>
          </w:p>
        </w:tc>
      </w:tr>
      <w:tr w:rsidR="00A44E67" w14:paraId="70C34160"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B1C4FD5" w14:textId="77777777" w:rsidR="00A44E67" w:rsidRDefault="00000000">
            <w:r>
              <w:rPr>
                <w:sz w:val="20"/>
                <w:szCs w:val="20"/>
              </w:rPr>
              <w:t>TNFRSF10B</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82F88B4" w14:textId="77777777" w:rsidR="00A44E67" w:rsidRDefault="00000000">
            <w:r>
              <w:rPr>
                <w:sz w:val="20"/>
                <w:szCs w:val="20"/>
              </w:rPr>
              <w:t>Death receptor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29C3190" w14:textId="77777777" w:rsidR="00A44E67" w:rsidRDefault="00000000">
            <w:r>
              <w:rPr>
                <w:sz w:val="20"/>
                <w:szCs w:val="20"/>
              </w:rPr>
              <w:t>DR5/TRAIL-R2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D2648C9" w14:textId="77777777" w:rsidR="00A44E67" w:rsidRDefault="00000000">
            <w:r>
              <w:rPr>
                <w:sz w:val="20"/>
                <w:szCs w:val="20"/>
              </w:rPr>
              <w:t>Direct p53 transcriptional target; high-affinity TRAIL receptor</w:t>
            </w:r>
          </w:p>
        </w:tc>
      </w:tr>
      <w:tr w:rsidR="00A44E67" w14:paraId="06F585A6"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DAFF18B" w14:textId="77777777" w:rsidR="00A44E67" w:rsidRDefault="00000000">
            <w:r>
              <w:rPr>
                <w:sz w:val="20"/>
                <w:szCs w:val="20"/>
              </w:rPr>
              <w:t>FAS</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1D22A1A" w14:textId="77777777" w:rsidR="00A44E67" w:rsidRDefault="00000000">
            <w:r>
              <w:rPr>
                <w:sz w:val="20"/>
                <w:szCs w:val="20"/>
              </w:rPr>
              <w:t>Death receptor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6A601A8" w14:textId="77777777" w:rsidR="00A44E67" w:rsidRDefault="00000000">
            <w:r>
              <w:rPr>
                <w:sz w:val="20"/>
                <w:szCs w:val="20"/>
              </w:rPr>
              <w:t>FAS/APO-1/CD95</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99A7E8C" w14:textId="77777777" w:rsidR="00A44E67" w:rsidRDefault="00000000">
            <w:r>
              <w:rPr>
                <w:sz w:val="20"/>
                <w:szCs w:val="20"/>
              </w:rPr>
              <w:t xml:space="preserve">Direct p53 transcriptional target; activated by </w:t>
            </w:r>
            <w:proofErr w:type="spellStart"/>
            <w:r>
              <w:rPr>
                <w:sz w:val="20"/>
                <w:szCs w:val="20"/>
              </w:rPr>
              <w:t>FasL</w:t>
            </w:r>
            <w:proofErr w:type="spellEnd"/>
            <w:r>
              <w:rPr>
                <w:sz w:val="20"/>
                <w:szCs w:val="20"/>
              </w:rPr>
              <w:t>; activates CASP8</w:t>
            </w:r>
          </w:p>
        </w:tc>
      </w:tr>
      <w:tr w:rsidR="00A44E67" w14:paraId="4CC50FE1"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414DB0B" w14:textId="77777777" w:rsidR="00A44E67" w:rsidRDefault="00000000">
            <w:r>
              <w:rPr>
                <w:sz w:val="20"/>
                <w:szCs w:val="20"/>
              </w:rPr>
              <w:t>TNFRSF1A</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F23EF23" w14:textId="77777777" w:rsidR="00A44E67" w:rsidRDefault="00000000">
            <w:r>
              <w:rPr>
                <w:sz w:val="20"/>
                <w:szCs w:val="20"/>
              </w:rPr>
              <w:t>Death receptor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09A101F" w14:textId="77777777" w:rsidR="00A44E67" w:rsidRDefault="00000000">
            <w:r>
              <w:rPr>
                <w:sz w:val="20"/>
                <w:szCs w:val="20"/>
              </w:rPr>
              <w:t>TNF receptor 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1693939" w14:textId="77777777" w:rsidR="00A44E67" w:rsidRDefault="00000000">
            <w:r>
              <w:rPr>
                <w:sz w:val="20"/>
                <w:szCs w:val="20"/>
              </w:rPr>
              <w:t>TNF receptor; activates CASP8 and NF-kB</w:t>
            </w:r>
          </w:p>
        </w:tc>
      </w:tr>
      <w:tr w:rsidR="00A44E67" w14:paraId="1C37B4B0"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EFF1237" w14:textId="77777777" w:rsidR="00A44E67" w:rsidRDefault="00000000">
            <w:r>
              <w:rPr>
                <w:sz w:val="20"/>
                <w:szCs w:val="20"/>
              </w:rPr>
              <w:t>BIRC2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A6A9BE6" w14:textId="77777777" w:rsidR="00A44E67" w:rsidRDefault="00000000">
            <w:r>
              <w:rPr>
                <w:sz w:val="20"/>
                <w:szCs w:val="20"/>
              </w:rPr>
              <w:t>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6EBB12D" w14:textId="77777777" w:rsidR="00A44E67" w:rsidRDefault="00000000">
            <w:r>
              <w:rPr>
                <w:sz w:val="20"/>
                <w:szCs w:val="20"/>
              </w:rPr>
              <w:t>cIAP1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AF8F765" w14:textId="77777777" w:rsidR="00A44E67" w:rsidRDefault="00000000">
            <w:r>
              <w:rPr>
                <w:sz w:val="20"/>
                <w:szCs w:val="20"/>
              </w:rPr>
              <w:t xml:space="preserve">Inhibitor of apoptosis; ubiquitinates CASP8; target of </w:t>
            </w:r>
            <w:proofErr w:type="spellStart"/>
            <w:r>
              <w:rPr>
                <w:sz w:val="20"/>
                <w:szCs w:val="20"/>
              </w:rPr>
              <w:t>smac</w:t>
            </w:r>
            <w:proofErr w:type="spellEnd"/>
            <w:r>
              <w:rPr>
                <w:sz w:val="20"/>
                <w:szCs w:val="20"/>
              </w:rPr>
              <w:t xml:space="preserve"> mimetics</w:t>
            </w:r>
          </w:p>
        </w:tc>
      </w:tr>
      <w:tr w:rsidR="00A44E67" w14:paraId="6EFACF77"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01B72FF" w14:textId="77777777" w:rsidR="00A44E67" w:rsidRDefault="00000000">
            <w:r>
              <w:rPr>
                <w:sz w:val="20"/>
                <w:szCs w:val="20"/>
              </w:rPr>
              <w:t>BIRC3</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81756CF" w14:textId="77777777" w:rsidR="00A44E67" w:rsidRDefault="00000000">
            <w:r>
              <w:rPr>
                <w:sz w:val="20"/>
                <w:szCs w:val="20"/>
              </w:rPr>
              <w:t>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26A298E" w14:textId="77777777" w:rsidR="00A44E67" w:rsidRDefault="00000000">
            <w:r>
              <w:rPr>
                <w:sz w:val="20"/>
                <w:szCs w:val="20"/>
              </w:rPr>
              <w:t>cIAP2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DC8E4B6" w14:textId="77777777" w:rsidR="00A44E67" w:rsidRDefault="00000000">
            <w:r>
              <w:rPr>
                <w:sz w:val="20"/>
                <w:szCs w:val="20"/>
              </w:rPr>
              <w:t xml:space="preserve">Inhibitor of apoptosis; paralog of BIRC2; target of </w:t>
            </w:r>
            <w:proofErr w:type="spellStart"/>
            <w:r>
              <w:rPr>
                <w:sz w:val="20"/>
                <w:szCs w:val="20"/>
              </w:rPr>
              <w:t>smac</w:t>
            </w:r>
            <w:proofErr w:type="spellEnd"/>
            <w:r>
              <w:rPr>
                <w:sz w:val="20"/>
                <w:szCs w:val="20"/>
              </w:rPr>
              <w:t xml:space="preserve"> mimetics</w:t>
            </w:r>
          </w:p>
        </w:tc>
      </w:tr>
      <w:tr w:rsidR="00A44E67" w14:paraId="3520C397"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6F5EEA9" w14:textId="77777777" w:rsidR="00A44E67" w:rsidRDefault="00000000">
            <w:r>
              <w:rPr>
                <w:sz w:val="20"/>
                <w:szCs w:val="20"/>
              </w:rPr>
              <w:t>BIRC5</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3D1888F" w14:textId="77777777" w:rsidR="00A44E67" w:rsidRDefault="00000000">
            <w:r>
              <w:rPr>
                <w:sz w:val="20"/>
                <w:szCs w:val="20"/>
              </w:rPr>
              <w:t>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870B482" w14:textId="77777777" w:rsidR="00A44E67" w:rsidRDefault="00000000">
            <w:proofErr w:type="spellStart"/>
            <w:r>
              <w:rPr>
                <w:sz w:val="20"/>
                <w:szCs w:val="20"/>
              </w:rPr>
              <w:t>Survivin</w:t>
            </w:r>
            <w:proofErr w:type="spellEnd"/>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6C9C1E7" w14:textId="77777777" w:rsidR="00A44E67" w:rsidRDefault="00000000">
            <w:r>
              <w:rPr>
                <w:sz w:val="20"/>
                <w:szCs w:val="20"/>
              </w:rPr>
              <w:t>Inhibits CASP3 and CASP9; chromosomal passenger protein; consistently upregulated in mutp53</w:t>
            </w:r>
          </w:p>
        </w:tc>
      </w:tr>
      <w:tr w:rsidR="00A44E67" w14:paraId="19497D22"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4FC3752" w14:textId="77777777" w:rsidR="00A44E67" w:rsidRDefault="00000000">
            <w:r>
              <w:rPr>
                <w:sz w:val="20"/>
                <w:szCs w:val="20"/>
              </w:rPr>
              <w:t>XIAP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AE318DC" w14:textId="77777777" w:rsidR="00A44E67" w:rsidRDefault="00000000">
            <w:r>
              <w:rPr>
                <w:sz w:val="20"/>
                <w:szCs w:val="20"/>
              </w:rPr>
              <w:t>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53D821F" w14:textId="77777777" w:rsidR="00A44E67" w:rsidRDefault="00000000">
            <w:r>
              <w:rPr>
                <w:sz w:val="20"/>
                <w:szCs w:val="20"/>
              </w:rPr>
              <w:t>X-linked IAP</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3B59CB3" w14:textId="77777777" w:rsidR="00A44E67" w:rsidRDefault="00000000">
            <w:r>
              <w:rPr>
                <w:sz w:val="20"/>
                <w:szCs w:val="20"/>
              </w:rPr>
              <w:t xml:space="preserve">Most potent IAP; directly inhibits CASP3, CASP7, CASP9; primary </w:t>
            </w:r>
            <w:proofErr w:type="spellStart"/>
            <w:r>
              <w:rPr>
                <w:sz w:val="20"/>
                <w:szCs w:val="20"/>
              </w:rPr>
              <w:t>smac</w:t>
            </w:r>
            <w:proofErr w:type="spellEnd"/>
            <w:r>
              <w:rPr>
                <w:sz w:val="20"/>
                <w:szCs w:val="20"/>
              </w:rPr>
              <w:t xml:space="preserve"> mimetic target</w:t>
            </w:r>
          </w:p>
        </w:tc>
      </w:tr>
      <w:tr w:rsidR="00A44E67" w14:paraId="5064788F"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3524FCD" w14:textId="77777777" w:rsidR="00A44E67" w:rsidRDefault="00000000">
            <w:r>
              <w:rPr>
                <w:sz w:val="20"/>
                <w:szCs w:val="20"/>
              </w:rPr>
              <w:t>APAF1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7CC4C21"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39173F6" w14:textId="77777777" w:rsidR="00A44E67" w:rsidRDefault="00000000">
            <w:r>
              <w:rPr>
                <w:sz w:val="20"/>
                <w:szCs w:val="20"/>
              </w:rPr>
              <w:t>Apoptotic protease activating factor 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E1AACD0" w14:textId="77777777" w:rsidR="00A44E67" w:rsidRDefault="00000000">
            <w:proofErr w:type="spellStart"/>
            <w:r>
              <w:rPr>
                <w:sz w:val="20"/>
                <w:szCs w:val="20"/>
              </w:rPr>
              <w:t>Apoptosome</w:t>
            </w:r>
            <w:proofErr w:type="spellEnd"/>
            <w:r>
              <w:rPr>
                <w:sz w:val="20"/>
                <w:szCs w:val="20"/>
              </w:rPr>
              <w:t xml:space="preserve"> scaffold; direct p53 target; activates CASP9 upon cytochrome c binding</w:t>
            </w:r>
          </w:p>
        </w:tc>
      </w:tr>
      <w:tr w:rsidR="00A44E67" w14:paraId="554E8E66"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971ED5A" w14:textId="77777777" w:rsidR="00A44E67" w:rsidRDefault="00000000">
            <w:r>
              <w:rPr>
                <w:sz w:val="20"/>
                <w:szCs w:val="20"/>
              </w:rPr>
              <w:t>CYCS</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2AB62A5"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3F442AF" w14:textId="77777777" w:rsidR="00A44E67" w:rsidRDefault="00000000">
            <w:r>
              <w:rPr>
                <w:sz w:val="20"/>
                <w:szCs w:val="20"/>
              </w:rPr>
              <w:t>Cytochrome c</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CAF1F3F" w14:textId="77777777" w:rsidR="00A44E67" w:rsidRDefault="00000000">
            <w:r>
              <w:rPr>
                <w:sz w:val="20"/>
                <w:szCs w:val="20"/>
              </w:rPr>
              <w:t xml:space="preserve">Released from mitochondria; binds APAF1 to form </w:t>
            </w:r>
            <w:proofErr w:type="spellStart"/>
            <w:r>
              <w:rPr>
                <w:sz w:val="20"/>
                <w:szCs w:val="20"/>
              </w:rPr>
              <w:t>apoptosome</w:t>
            </w:r>
            <w:proofErr w:type="spellEnd"/>
          </w:p>
        </w:tc>
      </w:tr>
      <w:tr w:rsidR="00A44E67" w14:paraId="212E1C5C"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1B9C914" w14:textId="77777777" w:rsidR="00A44E67" w:rsidRDefault="00000000">
            <w:r>
              <w:rPr>
                <w:sz w:val="20"/>
                <w:szCs w:val="20"/>
              </w:rPr>
              <w:lastRenderedPageBreak/>
              <w:t>BAX</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F63DEEF"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56C2210" w14:textId="77777777" w:rsidR="00A44E67" w:rsidRDefault="00000000">
            <w:r>
              <w:rPr>
                <w:sz w:val="20"/>
                <w:szCs w:val="20"/>
              </w:rPr>
              <w:t>BCL-2 associated X protein</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0636BDF" w14:textId="77777777" w:rsidR="00A44E67" w:rsidRDefault="00000000">
            <w:r>
              <w:rPr>
                <w:sz w:val="20"/>
                <w:szCs w:val="20"/>
              </w:rPr>
              <w:t>Pro-apoptotic; direct p53 target; permeabilizes mitochondrial outer membrane</w:t>
            </w:r>
          </w:p>
        </w:tc>
      </w:tr>
      <w:tr w:rsidR="00A44E67" w14:paraId="6958E765"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102C0CE" w14:textId="77777777" w:rsidR="00A44E67" w:rsidRDefault="00000000">
            <w:r>
              <w:rPr>
                <w:sz w:val="20"/>
                <w:szCs w:val="20"/>
              </w:rPr>
              <w:t>BAK1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1AB47F8"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2F4EA96" w14:textId="77777777" w:rsidR="00A44E67" w:rsidRDefault="00000000">
            <w:r>
              <w:rPr>
                <w:sz w:val="20"/>
                <w:szCs w:val="20"/>
              </w:rPr>
              <w:t>BCL-2 homologous antagonist killer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8D8343E" w14:textId="77777777" w:rsidR="00A44E67" w:rsidRDefault="00000000">
            <w:r>
              <w:rPr>
                <w:sz w:val="20"/>
                <w:szCs w:val="20"/>
              </w:rPr>
              <w:t>Pro-apoptotic; redundant with BAX for mitochondrial membrane permeabilization</w:t>
            </w:r>
          </w:p>
        </w:tc>
      </w:tr>
      <w:tr w:rsidR="00A44E67" w14:paraId="44318D8E"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2B1F95B" w14:textId="77777777" w:rsidR="00A44E67" w:rsidRDefault="00000000">
            <w:r>
              <w:rPr>
                <w:sz w:val="20"/>
                <w:szCs w:val="20"/>
              </w:rPr>
              <w:t>BCL2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0B7E349"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9974F72" w14:textId="77777777" w:rsidR="00A44E67" w:rsidRDefault="00000000">
            <w:r>
              <w:rPr>
                <w:sz w:val="20"/>
                <w:szCs w:val="20"/>
              </w:rPr>
              <w:t>B-cell lymphoma 2</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CCF9FC7" w14:textId="77777777" w:rsidR="00A44E67" w:rsidRDefault="00000000">
            <w:r>
              <w:rPr>
                <w:sz w:val="20"/>
                <w:szCs w:val="20"/>
              </w:rPr>
              <w:t>Anti-apoptotic; sequesters BAX; venetoclax target</w:t>
            </w:r>
          </w:p>
        </w:tc>
      </w:tr>
      <w:tr w:rsidR="00A44E67" w14:paraId="50A7C2DD"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C104898" w14:textId="77777777" w:rsidR="00A44E67" w:rsidRDefault="00000000">
            <w:r>
              <w:rPr>
                <w:sz w:val="20"/>
                <w:szCs w:val="20"/>
              </w:rPr>
              <w:t>BCL2L1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7BDB80C"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44A937B" w14:textId="77777777" w:rsidR="00A44E67" w:rsidRDefault="00000000">
            <w:r>
              <w:rPr>
                <w:sz w:val="20"/>
                <w:szCs w:val="20"/>
              </w:rPr>
              <w:t>BCL-XL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C089778" w14:textId="77777777" w:rsidR="00A44E67" w:rsidRDefault="00000000">
            <w:r>
              <w:rPr>
                <w:sz w:val="20"/>
                <w:szCs w:val="20"/>
              </w:rPr>
              <w:t>Anti-apoptotic; sequesters BAX/BAK; navitoclax target</w:t>
            </w:r>
          </w:p>
        </w:tc>
      </w:tr>
      <w:tr w:rsidR="00A44E67" w14:paraId="5AE21AC0"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EEB842E" w14:textId="77777777" w:rsidR="00A44E67" w:rsidRDefault="00000000">
            <w:r>
              <w:rPr>
                <w:sz w:val="20"/>
                <w:szCs w:val="20"/>
              </w:rPr>
              <w:t>MCL1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C3AC821" w14:textId="77777777" w:rsidR="00A44E67" w:rsidRDefault="00000000">
            <w:r>
              <w:rPr>
                <w:sz w:val="20"/>
                <w:szCs w:val="20"/>
              </w:rPr>
              <w:t>Mitochondrial</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61C77A6" w14:textId="77777777" w:rsidR="00A44E67" w:rsidRDefault="00000000">
            <w:r>
              <w:rPr>
                <w:sz w:val="20"/>
                <w:szCs w:val="20"/>
              </w:rPr>
              <w:t xml:space="preserve">Myeloid cell </w:t>
            </w:r>
            <w:proofErr w:type="spellStart"/>
            <w:r>
              <w:rPr>
                <w:sz w:val="20"/>
                <w:szCs w:val="20"/>
              </w:rPr>
              <w:t>leukemia</w:t>
            </w:r>
            <w:proofErr w:type="spellEnd"/>
            <w:r>
              <w:rPr>
                <w:sz w:val="20"/>
                <w:szCs w:val="20"/>
              </w:rPr>
              <w:t xml:space="preserve"> 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D26F717" w14:textId="77777777" w:rsidR="00A44E67" w:rsidRDefault="00000000">
            <w:r>
              <w:rPr>
                <w:sz w:val="20"/>
                <w:szCs w:val="20"/>
              </w:rPr>
              <w:t>Anti-apoptotic; sequesters BIM, NOXA; S63845 target</w:t>
            </w:r>
          </w:p>
        </w:tc>
      </w:tr>
      <w:tr w:rsidR="00A44E67" w14:paraId="64238CDF"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F291915" w14:textId="77777777" w:rsidR="00A44E67" w:rsidRDefault="00000000">
            <w:r>
              <w:rPr>
                <w:sz w:val="20"/>
                <w:szCs w:val="20"/>
              </w:rPr>
              <w:t>RRP1B</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6B41298" w14:textId="77777777" w:rsidR="00A44E67" w:rsidRDefault="00000000">
            <w:r>
              <w:rPr>
                <w:sz w:val="20"/>
                <w:szCs w:val="20"/>
              </w:rPr>
              <w:t>Nucleolar stress</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53A347F" w14:textId="77777777" w:rsidR="00A44E67" w:rsidRDefault="00000000">
            <w:r>
              <w:rPr>
                <w:sz w:val="20"/>
                <w:szCs w:val="20"/>
              </w:rPr>
              <w:t>Ribosomal RNA processing protein 1B</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4FCDFD4" w14:textId="77777777" w:rsidR="00A44E67" w:rsidRDefault="00000000">
            <w:r>
              <w:rPr>
                <w:sz w:val="20"/>
                <w:szCs w:val="20"/>
              </w:rPr>
              <w:t>Nucleolar stress sensor; connects nucleolar stress to CASP8/CASP7 activation</w:t>
            </w:r>
          </w:p>
        </w:tc>
      </w:tr>
      <w:tr w:rsidR="00A44E67" w14:paraId="2B3672F3"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2E04471" w14:textId="77777777" w:rsidR="00A44E67" w:rsidRDefault="00000000">
            <w:r>
              <w:rPr>
                <w:sz w:val="20"/>
                <w:szCs w:val="20"/>
              </w:rPr>
              <w:t>E2F1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0AE7F70" w14:textId="77777777" w:rsidR="00A44E67" w:rsidRDefault="00000000">
            <w:r>
              <w:rPr>
                <w:sz w:val="20"/>
                <w:szCs w:val="20"/>
              </w:rPr>
              <w:t>Nucleolar stress</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15BC41B" w14:textId="77777777" w:rsidR="00A44E67" w:rsidRDefault="00000000">
            <w:r>
              <w:rPr>
                <w:sz w:val="20"/>
                <w:szCs w:val="20"/>
              </w:rPr>
              <w:t>E2F transcription factor 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87F002C" w14:textId="77777777" w:rsidR="00A44E67" w:rsidRDefault="00000000">
            <w:r>
              <w:rPr>
                <w:sz w:val="20"/>
                <w:szCs w:val="20"/>
              </w:rPr>
              <w:t>Connects nucleolar stress to caspase activation; E2F1/RRP1B/CASP8 axis</w:t>
            </w:r>
          </w:p>
        </w:tc>
      </w:tr>
      <w:tr w:rsidR="00A44E67" w14:paraId="08C514D1"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2E49B62" w14:textId="77777777" w:rsidR="00A44E67" w:rsidRDefault="00000000">
            <w:r>
              <w:rPr>
                <w:sz w:val="20"/>
                <w:szCs w:val="20"/>
              </w:rPr>
              <w:t>BBC3</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729E6E6"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D8BFFC4" w14:textId="77777777" w:rsidR="00A44E67" w:rsidRDefault="00000000">
            <w:r>
              <w:rPr>
                <w:sz w:val="20"/>
                <w:szCs w:val="20"/>
              </w:rPr>
              <w:t>PUMA/p53 upregulated modulator of apoptosis</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EDFBF92" w14:textId="77777777" w:rsidR="00A44E67" w:rsidRDefault="00000000">
            <w:r>
              <w:rPr>
                <w:sz w:val="20"/>
                <w:szCs w:val="20"/>
              </w:rPr>
              <w:t>Canonical direct p53 transcriptional target; activates BAX/BAK</w:t>
            </w:r>
          </w:p>
        </w:tc>
      </w:tr>
      <w:tr w:rsidR="00A44E67" w14:paraId="75623AA0"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BBC4210" w14:textId="77777777" w:rsidR="00A44E67" w:rsidRDefault="00000000">
            <w:r>
              <w:rPr>
                <w:sz w:val="20"/>
                <w:szCs w:val="20"/>
              </w:rPr>
              <w:t>PMAIP1</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03F12C3"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EBFB076" w14:textId="77777777" w:rsidR="00A44E67" w:rsidRDefault="00000000">
            <w:r>
              <w:rPr>
                <w:sz w:val="20"/>
                <w:szCs w:val="20"/>
              </w:rPr>
              <w:t>NOXA</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AE16EBE" w14:textId="77777777" w:rsidR="00A44E67" w:rsidRDefault="00000000">
            <w:r>
              <w:rPr>
                <w:sz w:val="20"/>
                <w:szCs w:val="20"/>
              </w:rPr>
              <w:t>Canonical direct p53 target; antagonizes MCL1; activates mitochondrial pathway</w:t>
            </w:r>
          </w:p>
        </w:tc>
      </w:tr>
      <w:tr w:rsidR="00A44E67" w14:paraId="1E2C0D62"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46FF087" w14:textId="77777777" w:rsidR="00A44E67" w:rsidRDefault="00000000">
            <w:r>
              <w:rPr>
                <w:sz w:val="20"/>
                <w:szCs w:val="20"/>
              </w:rPr>
              <w:t>BID</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56B542A"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188C964" w14:textId="77777777" w:rsidR="00A44E67" w:rsidRDefault="00000000">
            <w:r>
              <w:rPr>
                <w:sz w:val="20"/>
                <w:szCs w:val="20"/>
              </w:rPr>
              <w:t>BH3-interacting domain death agonist</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7A2DE03" w14:textId="77777777" w:rsidR="00A44E67" w:rsidRDefault="00000000">
            <w:r>
              <w:rPr>
                <w:sz w:val="20"/>
                <w:szCs w:val="20"/>
              </w:rPr>
              <w:t>Connects extrinsic (CASP8 cleavage) to intrinsic pathway; activates BAX</w:t>
            </w:r>
          </w:p>
        </w:tc>
      </w:tr>
      <w:tr w:rsidR="00A44E67" w14:paraId="733BC52F"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B0A187C" w14:textId="77777777" w:rsidR="00A44E67" w:rsidRDefault="00000000">
            <w:r>
              <w:rPr>
                <w:sz w:val="20"/>
                <w:szCs w:val="20"/>
              </w:rPr>
              <w:t>BAD</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D5A0325"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13781D4" w14:textId="77777777" w:rsidR="00A44E67" w:rsidRDefault="00000000">
            <w:r>
              <w:rPr>
                <w:sz w:val="20"/>
                <w:szCs w:val="20"/>
              </w:rPr>
              <w:t>BCL-2 associated agonist of cell death</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97C5E55" w14:textId="77777777" w:rsidR="00A44E67" w:rsidRDefault="00000000">
            <w:r>
              <w:rPr>
                <w:sz w:val="20"/>
                <w:szCs w:val="20"/>
              </w:rPr>
              <w:t>Sensitizer BH3-only; antagonizes BCL2/BCL-XL</w:t>
            </w:r>
          </w:p>
        </w:tc>
      </w:tr>
      <w:tr w:rsidR="00A44E67" w14:paraId="5FC663B8"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70881E7" w14:textId="77777777" w:rsidR="00A44E67" w:rsidRDefault="00000000">
            <w:r>
              <w:rPr>
                <w:sz w:val="20"/>
                <w:szCs w:val="20"/>
              </w:rPr>
              <w:t>BIK</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C6C4F0F"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221F1FA" w14:textId="77777777" w:rsidR="00A44E67" w:rsidRDefault="00000000">
            <w:r>
              <w:rPr>
                <w:sz w:val="20"/>
                <w:szCs w:val="20"/>
              </w:rPr>
              <w:t>BCL-2 interacting killer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B4CE3A7" w14:textId="77777777" w:rsidR="00A44E67" w:rsidRDefault="00000000">
            <w:r>
              <w:rPr>
                <w:sz w:val="20"/>
                <w:szCs w:val="20"/>
              </w:rPr>
              <w:t>Activator BH3-only; ER-associated apoptosis</w:t>
            </w:r>
          </w:p>
        </w:tc>
      </w:tr>
      <w:tr w:rsidR="00A44E67" w14:paraId="45B7212F"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8EC72D1" w14:textId="77777777" w:rsidR="00A44E67" w:rsidRDefault="00000000">
            <w:r>
              <w:rPr>
                <w:sz w:val="20"/>
                <w:szCs w:val="20"/>
              </w:rPr>
              <w:t>BMF</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1FDA820"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B279230" w14:textId="77777777" w:rsidR="00A44E67" w:rsidRDefault="00000000">
            <w:r>
              <w:rPr>
                <w:sz w:val="20"/>
                <w:szCs w:val="20"/>
              </w:rPr>
              <w:t>BCL-2 modifying factor</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8202EFB" w14:textId="77777777" w:rsidR="00A44E67" w:rsidRDefault="00000000">
            <w:r>
              <w:rPr>
                <w:sz w:val="20"/>
                <w:szCs w:val="20"/>
              </w:rPr>
              <w:t xml:space="preserve">Sensitizer; </w:t>
            </w:r>
            <w:proofErr w:type="spellStart"/>
            <w:r>
              <w:rPr>
                <w:sz w:val="20"/>
                <w:szCs w:val="20"/>
              </w:rPr>
              <w:t>anoikis</w:t>
            </w:r>
            <w:proofErr w:type="spellEnd"/>
            <w:r>
              <w:rPr>
                <w:sz w:val="20"/>
                <w:szCs w:val="20"/>
              </w:rPr>
              <w:t>-associated; suppressed by mutp53-R273H via AKT</w:t>
            </w:r>
          </w:p>
        </w:tc>
      </w:tr>
      <w:tr w:rsidR="00A44E67" w14:paraId="5DFD8015" w14:textId="77777777">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D80E54A" w14:textId="77777777" w:rsidR="00A44E67" w:rsidRDefault="00000000">
            <w:r>
              <w:rPr>
                <w:sz w:val="20"/>
                <w:szCs w:val="20"/>
              </w:rPr>
              <w:t>HRK</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4E8F9DB" w14:textId="77777777" w:rsidR="00A44E67" w:rsidRDefault="00000000">
            <w:r>
              <w:rPr>
                <w:sz w:val="20"/>
                <w:szCs w:val="20"/>
              </w:rPr>
              <w:t>BH3-only</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8C64CAF" w14:textId="77777777" w:rsidR="00A44E67" w:rsidRDefault="00000000">
            <w:proofErr w:type="spellStart"/>
            <w:r>
              <w:rPr>
                <w:sz w:val="20"/>
                <w:szCs w:val="20"/>
              </w:rPr>
              <w:t>Harakiri</w:t>
            </w:r>
            <w:proofErr w:type="spellEnd"/>
            <w:r>
              <w:rPr>
                <w:sz w:val="20"/>
                <w:szCs w:val="20"/>
              </w:rPr>
              <w:t>/DP5</w:t>
            </w:r>
          </w:p>
        </w:tc>
        <w:tc>
          <w:tcPr>
            <w:tcW w:w="0" w:type="auto"/>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A788E72" w14:textId="77777777" w:rsidR="00A44E67" w:rsidRDefault="00000000">
            <w:r>
              <w:rPr>
                <w:sz w:val="20"/>
                <w:szCs w:val="20"/>
              </w:rPr>
              <w:t>Activator BH3-only; antagonizes BCL2/BCL-XL; lineage-specific regulation in mutp53</w:t>
            </w:r>
          </w:p>
        </w:tc>
      </w:tr>
    </w:tbl>
    <w:p w14:paraId="61278935" w14:textId="77777777" w:rsidR="00A44E67" w:rsidRDefault="00A44E67">
      <w:pPr>
        <w:spacing w:before="40" w:after="40"/>
      </w:pPr>
    </w:p>
    <w:p w14:paraId="44C79F74" w14:textId="77777777" w:rsidR="00A44E67" w:rsidRDefault="00000000">
      <w:pPr>
        <w:spacing w:before="80" w:after="80"/>
        <w:jc w:val="both"/>
      </w:pPr>
      <w:r>
        <w:rPr>
          <w:i/>
          <w:iCs/>
          <w:sz w:val="20"/>
          <w:szCs w:val="20"/>
        </w:rPr>
        <w:t xml:space="preserve">BH3-only proteins are categorized as activators (directly activate BAX/BAK: BBC3, PMAIP1, BID, BIK, HRK) or sensitizers (displace activators from anti-apoptotic BCL-2 family: BAD, BMF). IAP: inhibitor of apoptosis protein. </w:t>
      </w:r>
      <w:proofErr w:type="spellStart"/>
      <w:r>
        <w:rPr>
          <w:i/>
          <w:iCs/>
          <w:sz w:val="20"/>
          <w:szCs w:val="20"/>
        </w:rPr>
        <w:t>smac</w:t>
      </w:r>
      <w:proofErr w:type="spellEnd"/>
      <w:r>
        <w:rPr>
          <w:i/>
          <w:iCs/>
          <w:sz w:val="20"/>
          <w:szCs w:val="20"/>
        </w:rPr>
        <w:t xml:space="preserve"> mimetics target BIRC2, BIRC3, and XIAP by mimicking the AVPI tetrapeptide motif of SMAC/DIABLO.</w:t>
      </w:r>
    </w:p>
    <w:p w14:paraId="393CFFE1" w14:textId="77777777" w:rsidR="00A44E67" w:rsidRDefault="00A44E67">
      <w:pPr>
        <w:spacing w:before="40" w:after="40"/>
      </w:pPr>
    </w:p>
    <w:p w14:paraId="7431334D" w14:textId="77777777" w:rsidR="00A44E67" w:rsidRDefault="00A44E67">
      <w:pPr>
        <w:spacing w:before="40" w:after="40"/>
      </w:pPr>
    </w:p>
    <w:p w14:paraId="1E8A05A3" w14:textId="77777777" w:rsidR="00A44E67" w:rsidRDefault="00000000">
      <w:r>
        <w:br w:type="page"/>
      </w:r>
    </w:p>
    <w:p w14:paraId="30071103" w14:textId="77777777" w:rsidR="00A44E67" w:rsidRDefault="00000000">
      <w:pPr>
        <w:pStyle w:val="Heading1"/>
      </w:pPr>
      <w:r>
        <w:lastRenderedPageBreak/>
        <w:t>Supplementary Methods</w:t>
      </w:r>
    </w:p>
    <w:p w14:paraId="1A246EEB" w14:textId="77777777" w:rsidR="00A44E67" w:rsidRDefault="00000000">
      <w:pPr>
        <w:pStyle w:val="Heading2"/>
      </w:pPr>
      <w:r>
        <w:t>S1. TCGA Data Download and Quality Control</w:t>
      </w:r>
    </w:p>
    <w:p w14:paraId="02BFE426" w14:textId="77777777" w:rsidR="00A44E67" w:rsidRDefault="00000000">
      <w:pPr>
        <w:spacing w:before="80" w:after="80"/>
        <w:jc w:val="both"/>
      </w:pPr>
      <w:r>
        <w:t xml:space="preserve">RNA-sequencing data (STAR-Counts workflow, Genome Reference Consortium Human Build 38, hg38) and somatic mutation data (MuTect2 Masked Somatic Mutations, GDC harmonized pipeline) for eight TCGA projects were downloaded via the GDC Application Programming Interface (API) using </w:t>
      </w:r>
      <w:proofErr w:type="spellStart"/>
      <w:r>
        <w:t>TCGAbiolinks</w:t>
      </w:r>
      <w:proofErr w:type="spellEnd"/>
      <w:r>
        <w:t xml:space="preserve"> v2.32.0 in R v4.5.3. Downloads were performed using the </w:t>
      </w:r>
      <w:proofErr w:type="spellStart"/>
      <w:r>
        <w:t>GDCdownload</w:t>
      </w:r>
      <w:proofErr w:type="spellEnd"/>
      <w:r>
        <w:t xml:space="preserve"> function with method="</w:t>
      </w:r>
      <w:proofErr w:type="spellStart"/>
      <w:r>
        <w:t>api</w:t>
      </w:r>
      <w:proofErr w:type="spellEnd"/>
      <w:r>
        <w:t xml:space="preserve">" and </w:t>
      </w:r>
      <w:proofErr w:type="spellStart"/>
      <w:r>
        <w:t>files.per.chunk</w:t>
      </w:r>
      <w:proofErr w:type="spellEnd"/>
      <w:r>
        <w:t xml:space="preserve">=100 to ensure stability. The eight TCGA cohort identifiers used were: TCGA-LUAD (lung adenocarcinoma), TCGA-COAD (colon adenocarcinoma), TCGA-STAD (stomach adenocarcinoma), TCGA-PAAD (pancreatic adenocarcinoma), TCGA-LUSC (lung squamous cell carcinoma), TCGA-HNSC (head and neck squamous cell carcinoma), TCGA-BLCA (bladder urothelial carcinoma), and TCGA-LIHC (liver hepatocellular carcinoma). STAR-Counts </w:t>
      </w:r>
      <w:proofErr w:type="spellStart"/>
      <w:r>
        <w:t>unstranded</w:t>
      </w:r>
      <w:proofErr w:type="spellEnd"/>
      <w:r>
        <w:t xml:space="preserve"> count matrices were used for all analyses. Samples with duplicate barcodes were deduplicated by retaining the first occurrence after truncation of barcodes to 16 characters for cross-platform sample matching.</w:t>
      </w:r>
    </w:p>
    <w:p w14:paraId="16A030D1" w14:textId="77777777" w:rsidR="00A44E67" w:rsidRDefault="00000000">
      <w:pPr>
        <w:pStyle w:val="Heading2"/>
      </w:pPr>
      <w:r>
        <w:t>S2. TP53 Mutation Classification Protocol</w:t>
      </w:r>
    </w:p>
    <w:p w14:paraId="1A7D7F72" w14:textId="77777777" w:rsidR="00A44E67" w:rsidRDefault="00000000">
      <w:pPr>
        <w:spacing w:before="80" w:after="80"/>
        <w:jc w:val="both"/>
      </w:pPr>
      <w:r>
        <w:t xml:space="preserve">Somatic TP53 mutations were extracted from MuTect2 Masked Somatic Mutation files (MAF format) for each cohort. Classification was applied as follows: </w:t>
      </w:r>
      <w:proofErr w:type="spellStart"/>
      <w:r>
        <w:t>Missense_Mutation</w:t>
      </w:r>
      <w:proofErr w:type="spellEnd"/>
      <w:r>
        <w:t xml:space="preserve"> variant class was designated mutp53 (gain-of-function); </w:t>
      </w:r>
      <w:proofErr w:type="spellStart"/>
      <w:r>
        <w:t>Nonsense_Mutation</w:t>
      </w:r>
      <w:proofErr w:type="spellEnd"/>
      <w:r>
        <w:t xml:space="preserve">, </w:t>
      </w:r>
      <w:proofErr w:type="spellStart"/>
      <w:r>
        <w:t>Frame_Shift_Del</w:t>
      </w:r>
      <w:proofErr w:type="spellEnd"/>
      <w:r>
        <w:t xml:space="preserve">, </w:t>
      </w:r>
      <w:proofErr w:type="spellStart"/>
      <w:r>
        <w:t>Frame_Shift_Ins</w:t>
      </w:r>
      <w:proofErr w:type="spellEnd"/>
      <w:r>
        <w:t xml:space="preserve">, and </w:t>
      </w:r>
      <w:proofErr w:type="spellStart"/>
      <w:r>
        <w:t>Splice_Site</w:t>
      </w:r>
      <w:proofErr w:type="spellEnd"/>
      <w:r>
        <w:t xml:space="preserve"> were designated truncating (loss-of-function, excluded from both groups); all other variant classes were excluded. Hotspot classification was applied exclusively to missense mutations by exact string matching of the </w:t>
      </w:r>
      <w:proofErr w:type="spellStart"/>
      <w:r>
        <w:t>HGVSp_Short</w:t>
      </w:r>
      <w:proofErr w:type="spellEnd"/>
      <w:r>
        <w:t xml:space="preserve"> field against canonical hotspot protein changes: p.Arg175His (R175H), p.Arg248Trp (R248W), p.Arg248Gln (R248Q), p.Arg273His (R273H), p.Arg273Cys (R273C), p.Gly245Ser (G245S), and p.Arg282Trp (R282W). Samples not carrying any TP53 missense mutation after exclusion of truncating mutations constituted the wtp53 reference group. The rationale for excluding truncating mutations from the wtp53 group is that these represent loss-of-function without gain-of-function, creating a qualitatively different molecular state from both wtp53 and missense mutp53.</w:t>
      </w:r>
    </w:p>
    <w:p w14:paraId="5B8F07C3" w14:textId="77777777" w:rsidR="00A44E67" w:rsidRDefault="00000000">
      <w:pPr>
        <w:pStyle w:val="Heading2"/>
      </w:pPr>
      <w:r>
        <w:t>S3. DESeq2 Analysis Details</w:t>
      </w:r>
    </w:p>
    <w:p w14:paraId="1929AB65" w14:textId="77777777" w:rsidR="00A44E67" w:rsidRDefault="00000000">
      <w:pPr>
        <w:spacing w:before="80" w:after="80"/>
        <w:jc w:val="both"/>
      </w:pPr>
      <w:r>
        <w:t xml:space="preserve">Differential expression analysis was performed using DESeq2 v1.46.0. For each cohort, raw </w:t>
      </w:r>
      <w:proofErr w:type="spellStart"/>
      <w:r>
        <w:t>unstranded</w:t>
      </w:r>
      <w:proofErr w:type="spellEnd"/>
      <w:r>
        <w:t xml:space="preserve"> STAR count matrices were </w:t>
      </w:r>
      <w:proofErr w:type="spellStart"/>
      <w:r>
        <w:t>subsetted</w:t>
      </w:r>
      <w:proofErr w:type="spellEnd"/>
      <w:r>
        <w:t xml:space="preserve"> to the 34-gene caspase regulatory network using ENSEMBL IDs. Version suffixes were stripped from ENSEMBL IDs using the regular expression sub("\..*/", "", </w:t>
      </w:r>
      <w:proofErr w:type="spellStart"/>
      <w:r>
        <w:t>rownames</w:t>
      </w:r>
      <w:proofErr w:type="spellEnd"/>
      <w:r>
        <w:t xml:space="preserve">) to enable mapping to </w:t>
      </w:r>
      <w:proofErr w:type="spellStart"/>
      <w:r>
        <w:t>org.Hs.eg.db</w:t>
      </w:r>
      <w:proofErr w:type="spellEnd"/>
      <w:r>
        <w:t xml:space="preserve"> v3.22.0. The DESeq2 design formula was ~tp53_status with tp53_status as a two-level factor (wtp53 as reference level, mutp53 as treatment level). Pre-filtering removed genes with fewer than 10 counts in fewer than 5 samples. Size factors were estimated using the default median-of-ratios method. Dispersion estimates used the parametric fitting procedure. Variance-stabilizing transformation was applied using </w:t>
      </w:r>
      <w:proofErr w:type="spellStart"/>
      <w:r>
        <w:t>varianceStabilizingTransformation</w:t>
      </w:r>
      <w:proofErr w:type="spellEnd"/>
      <w:r>
        <w:t>(</w:t>
      </w:r>
      <w:proofErr w:type="spellStart"/>
      <w:r>
        <w:t>dds</w:t>
      </w:r>
      <w:proofErr w:type="spellEnd"/>
      <w:r>
        <w:t xml:space="preserve">, blind=FALSE) rather than </w:t>
      </w:r>
      <w:proofErr w:type="spellStart"/>
      <w:r>
        <w:t>vst</w:t>
      </w:r>
      <w:proofErr w:type="spellEnd"/>
      <w:r>
        <w:t xml:space="preserve">() because the latter requires a minimum of 1,000 genes. The Wald test was used for hypothesis testing. Results were extracted using the results() function with contrast=c("tp53_status","mutp53","wtp53"), alpha=0.05, and </w:t>
      </w:r>
      <w:proofErr w:type="spellStart"/>
      <w:r>
        <w:t>pAdjustMethod</w:t>
      </w:r>
      <w:proofErr w:type="spellEnd"/>
      <w:r>
        <w:t xml:space="preserve">="BH". Significance threshold was </w:t>
      </w:r>
      <w:proofErr w:type="spellStart"/>
      <w:r>
        <w:t>padj</w:t>
      </w:r>
      <w:proofErr w:type="spellEnd"/>
      <w:r>
        <w:t>&lt;0.05 with |log2FoldChange|&gt;0.5.</w:t>
      </w:r>
    </w:p>
    <w:p w14:paraId="6EA0F637" w14:textId="77777777" w:rsidR="00A44E67" w:rsidRDefault="00000000">
      <w:pPr>
        <w:pStyle w:val="Heading2"/>
      </w:pPr>
      <w:r>
        <w:t>S4. Hotspot Sample Size Limitations</w:t>
      </w:r>
    </w:p>
    <w:p w14:paraId="3012827C" w14:textId="77777777" w:rsidR="00A44E67" w:rsidRDefault="00000000">
      <w:pPr>
        <w:spacing w:before="80" w:after="80"/>
        <w:jc w:val="both"/>
      </w:pPr>
      <w:r>
        <w:lastRenderedPageBreak/>
        <w:t>Hotspot-specific DESeq2 analyses were subject to per-cohort sample size constraints. The minimum threshold was n&gt;=5 samples for the hotspot group and n&gt;=10 for the wtp53 reference group. Several cohort-hotspot combinations did not meet this threshold and were therefore excluded from hotspot analysis: R175H in TCGA-LUAD (n=1), TCGA-LUSC (n=4), TCGA-BLCA (n=3), TCGA-LIHC (n=0); R248W in TCGA-LUAD (n=1), TCGA-STAD (n=3), TCGA-PAAD (n=4), TCGA-LUSC (n=3), TCGA-BLCA (n=4), TCGA-LIHC (n=1); R273H in TCGA-LUAD (n=1), TCGA-PAAD (n=2), TCGA-LUSC (n=3), TCGA-BLCA (n=0), TCGA-LIHC (n=2). These exclusions are reported transparently and reflect the natural frequency of individual hotspot variants in specific cancer types rather than analytical limitations. The pan-cancer mutp53 versus wtp53 analysis (Section 2.4) used all missense mutations collectively and was not subject to these sample size constraints.</w:t>
      </w:r>
    </w:p>
    <w:p w14:paraId="5124951B" w14:textId="77777777" w:rsidR="00A44E67" w:rsidRDefault="00000000">
      <w:pPr>
        <w:pStyle w:val="Heading2"/>
      </w:pPr>
      <w:r>
        <w:t>S5. CCLE/</w:t>
      </w:r>
      <w:proofErr w:type="spellStart"/>
      <w:r>
        <w:t>DepMap</w:t>
      </w:r>
      <w:proofErr w:type="spellEnd"/>
      <w:r>
        <w:t xml:space="preserve"> Data Sources and Version</w:t>
      </w:r>
    </w:p>
    <w:p w14:paraId="03790048" w14:textId="77777777" w:rsidR="00A44E67" w:rsidRDefault="00000000">
      <w:pPr>
        <w:spacing w:before="80" w:after="80"/>
        <w:jc w:val="both"/>
      </w:pPr>
      <w:r>
        <w:t xml:space="preserve">Cancer Cell Line Encyclopedia data were obtained from the </w:t>
      </w:r>
      <w:proofErr w:type="spellStart"/>
      <w:r>
        <w:t>DepMap</w:t>
      </w:r>
      <w:proofErr w:type="spellEnd"/>
      <w:r>
        <w:t xml:space="preserve"> portal (https://depmap.org/portal/download/) using the 2024Q2 public release. The following files were used: OmicsExpressionProteinCodingGenesTPMLogp1.csv (gene expression as log2(TPM+1)), OmicsSomaticMutations.csv (somatic mutation calls), and Model.csv (cell line metadata including </w:t>
      </w:r>
      <w:proofErr w:type="spellStart"/>
      <w:r>
        <w:t>OncotreeLineage</w:t>
      </w:r>
      <w:proofErr w:type="spellEnd"/>
      <w:r>
        <w:t xml:space="preserve"> and </w:t>
      </w:r>
      <w:proofErr w:type="spellStart"/>
      <w:r>
        <w:t>OncotreePrimaryDisease</w:t>
      </w:r>
      <w:proofErr w:type="spellEnd"/>
      <w:r>
        <w:t xml:space="preserve">). TP53 missense mutations were identified by case-insensitive pattern matching of the </w:t>
      </w:r>
      <w:proofErr w:type="spellStart"/>
      <w:r>
        <w:t>VariantInfo</w:t>
      </w:r>
      <w:proofErr w:type="spellEnd"/>
      <w:r>
        <w:t xml:space="preserve"> column for "</w:t>
      </w:r>
      <w:proofErr w:type="spellStart"/>
      <w:r>
        <w:t>missense_variant</w:t>
      </w:r>
      <w:proofErr w:type="spellEnd"/>
      <w:r>
        <w:t xml:space="preserve">". The final analysis included 675 mutp53 cell lines and 1,009 wtp53 cell lines across 24 </w:t>
      </w:r>
      <w:proofErr w:type="spellStart"/>
      <w:r>
        <w:t>OncotreeLineage</w:t>
      </w:r>
      <w:proofErr w:type="spellEnd"/>
      <w:r>
        <w:t xml:space="preserve"> categories. Cell lines with any TP53 mutation that was not classified as missense (including truncating, splice, and in-frame indel mutations) were excluded from both groups.</w:t>
      </w:r>
    </w:p>
    <w:p w14:paraId="540C8AF8" w14:textId="77777777" w:rsidR="00A44E67" w:rsidRDefault="00000000">
      <w:pPr>
        <w:pStyle w:val="Heading2"/>
      </w:pPr>
      <w:r>
        <w:t xml:space="preserve">S6. </w:t>
      </w:r>
      <w:proofErr w:type="spellStart"/>
      <w:r>
        <w:t>ssGSEA</w:t>
      </w:r>
      <w:proofErr w:type="spellEnd"/>
      <w:r>
        <w:t xml:space="preserve"> Implementation</w:t>
      </w:r>
    </w:p>
    <w:p w14:paraId="003C2A82" w14:textId="77777777" w:rsidR="00A44E67" w:rsidRDefault="00000000">
      <w:pPr>
        <w:spacing w:before="80" w:after="80"/>
        <w:jc w:val="both"/>
      </w:pPr>
      <w:r>
        <w:t>Single-sample gene set enrichment analysis (</w:t>
      </w:r>
      <w:proofErr w:type="spellStart"/>
      <w:r>
        <w:t>ssGSEA</w:t>
      </w:r>
      <w:proofErr w:type="spellEnd"/>
      <w:r>
        <w:t xml:space="preserve">) was implemented using the GSVA package v1.54.0 (Bioconductor 3.22) with the </w:t>
      </w:r>
      <w:proofErr w:type="spellStart"/>
      <w:r>
        <w:t>gsvaParam</w:t>
      </w:r>
      <w:proofErr w:type="spellEnd"/>
      <w:r>
        <w:t xml:space="preserve">() function and </w:t>
      </w:r>
      <w:proofErr w:type="spellStart"/>
      <w:r>
        <w:t>kcdf</w:t>
      </w:r>
      <w:proofErr w:type="spellEnd"/>
      <w:r>
        <w:t xml:space="preserve">="Gaussian" for continuous expression data. Input expression matrices consisted of VST-normalized caspase network gene expression values per cohort, with versioned ENSEMBL IDs converted to HGNC gene symbols prior to analysis. Two apoptosis-relevant gene sets were used: HALLMARK_APOPTOSIS (200 genes; </w:t>
      </w:r>
      <w:proofErr w:type="spellStart"/>
      <w:r>
        <w:t>MSigDB</w:t>
      </w:r>
      <w:proofErr w:type="spellEnd"/>
      <w:r>
        <w:t xml:space="preserve"> Hallmark collection, v2023.2) and KEGG_APOPTOSIS (87 genes; </w:t>
      </w:r>
      <w:proofErr w:type="spellStart"/>
      <w:r>
        <w:t>MSigDB</w:t>
      </w:r>
      <w:proofErr w:type="spellEnd"/>
      <w:r>
        <w:t xml:space="preserve"> C2:CP:KEGG_LEGACY collection). Gene sets with fewer than 5 genes present in the expression matrix were excluded. </w:t>
      </w:r>
      <w:proofErr w:type="spellStart"/>
      <w:r>
        <w:t>ssGSEA</w:t>
      </w:r>
      <w:proofErr w:type="spellEnd"/>
      <w:r>
        <w:t xml:space="preserve"> enrichment scores were computed per sample per pathway. Differential enrichment between mutp53 and wtp53 groups was assessed using a two-sided Wilcoxon rank-sum test with exact=FALSE. Delta enrichment score was computed as the difference between mean </w:t>
      </w:r>
      <w:proofErr w:type="spellStart"/>
      <w:r>
        <w:t>ssGSEA</w:t>
      </w:r>
      <w:proofErr w:type="spellEnd"/>
      <w:r>
        <w:t xml:space="preserve"> score in mutp53 samples and mean score in wtp53 samples.</w:t>
      </w:r>
    </w:p>
    <w:p w14:paraId="1F376B9C" w14:textId="77777777" w:rsidR="00A44E67" w:rsidRDefault="00000000">
      <w:pPr>
        <w:pStyle w:val="Heading2"/>
      </w:pPr>
      <w:r>
        <w:t>S7. Reproducibility Statement</w:t>
      </w:r>
    </w:p>
    <w:p w14:paraId="2C2803DC" w14:textId="77777777" w:rsidR="00A44E67" w:rsidRDefault="00000000">
      <w:pPr>
        <w:spacing w:before="80" w:after="80"/>
        <w:jc w:val="both"/>
      </w:pPr>
      <w:r>
        <w:t xml:space="preserve">All analyses were performed in R v4.5.3 (2026-03-11) using Bioconductor v3.22 on Windows 10 (64-bit). A complete reproducible R pipeline comprising 13 numbered sections is available and will be deposited at </w:t>
      </w:r>
      <w:proofErr w:type="spellStart"/>
      <w:r>
        <w:t>Zenodo</w:t>
      </w:r>
      <w:proofErr w:type="spellEnd"/>
      <w:r>
        <w:t xml:space="preserve"> upon manuscript acceptance. The pipeline encompasses all steps from raw data download through figure generation. Key package versions: </w:t>
      </w:r>
      <w:proofErr w:type="spellStart"/>
      <w:r>
        <w:t>TCGAbiolinks</w:t>
      </w:r>
      <w:proofErr w:type="spellEnd"/>
      <w:r>
        <w:t xml:space="preserve"> v2.32.0, DESeq2 v1.46.0, GSVA v1.54.0, </w:t>
      </w:r>
      <w:proofErr w:type="spellStart"/>
      <w:r>
        <w:t>org.Hs.eg.db</w:t>
      </w:r>
      <w:proofErr w:type="spellEnd"/>
      <w:r>
        <w:t xml:space="preserve"> v3.22.0, </w:t>
      </w:r>
      <w:proofErr w:type="spellStart"/>
      <w:r>
        <w:t>ggraph</w:t>
      </w:r>
      <w:proofErr w:type="spellEnd"/>
      <w:r>
        <w:t xml:space="preserve"> v2.2.2, </w:t>
      </w:r>
      <w:proofErr w:type="spellStart"/>
      <w:r>
        <w:t>igraph</w:t>
      </w:r>
      <w:proofErr w:type="spellEnd"/>
      <w:r>
        <w:t xml:space="preserve"> v2.2.2, </w:t>
      </w:r>
      <w:proofErr w:type="spellStart"/>
      <w:r>
        <w:t>survminer</w:t>
      </w:r>
      <w:proofErr w:type="spellEnd"/>
      <w:r>
        <w:t xml:space="preserve"> v0.5.2, survival v3.8.6, </w:t>
      </w:r>
      <w:proofErr w:type="spellStart"/>
      <w:r>
        <w:t>msigdbr</w:t>
      </w:r>
      <w:proofErr w:type="spellEnd"/>
      <w:r>
        <w:t xml:space="preserve"> v7.5.1. All random seeds were set to 42 where applicable. Data availability: TCGA data are publicly available through the GDC Data Portal (https://portal.gdc.cancer.gov). </w:t>
      </w:r>
      <w:proofErr w:type="spellStart"/>
      <w:r>
        <w:t>DepMap</w:t>
      </w:r>
      <w:proofErr w:type="spellEnd"/>
      <w:r>
        <w:t xml:space="preserve">/CCLE data are publicly available through the </w:t>
      </w:r>
      <w:proofErr w:type="spellStart"/>
      <w:r>
        <w:t>DepMap</w:t>
      </w:r>
      <w:proofErr w:type="spellEnd"/>
      <w:r>
        <w:t xml:space="preserve"> </w:t>
      </w:r>
      <w:r>
        <w:lastRenderedPageBreak/>
        <w:t>portal (https://depmap.org/portal/download). No proprietary or restricted data were used in this study.</w:t>
      </w:r>
    </w:p>
    <w:p w14:paraId="1628DC07" w14:textId="77777777" w:rsidR="00A44E67" w:rsidRDefault="00A44E67">
      <w:pPr>
        <w:spacing w:before="40" w:after="40"/>
      </w:pPr>
    </w:p>
    <w:p w14:paraId="388DA87F" w14:textId="77777777" w:rsidR="00A44E67" w:rsidRDefault="00A44E67">
      <w:pPr>
        <w:spacing w:before="40" w:after="40"/>
      </w:pPr>
    </w:p>
    <w:sectPr w:rsidR="00A44E67">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3D170A"/>
    <w:multiLevelType w:val="hybridMultilevel"/>
    <w:tmpl w:val="245C44A2"/>
    <w:lvl w:ilvl="0" w:tplc="678A77C4">
      <w:start w:val="1"/>
      <w:numFmt w:val="bullet"/>
      <w:lvlText w:val="●"/>
      <w:lvlJc w:val="left"/>
      <w:pPr>
        <w:ind w:left="720" w:hanging="360"/>
      </w:pPr>
    </w:lvl>
    <w:lvl w:ilvl="1" w:tplc="FA3ED578">
      <w:start w:val="1"/>
      <w:numFmt w:val="bullet"/>
      <w:lvlText w:val="○"/>
      <w:lvlJc w:val="left"/>
      <w:pPr>
        <w:ind w:left="1440" w:hanging="360"/>
      </w:pPr>
    </w:lvl>
    <w:lvl w:ilvl="2" w:tplc="1164AF7A">
      <w:start w:val="1"/>
      <w:numFmt w:val="bullet"/>
      <w:lvlText w:val="■"/>
      <w:lvlJc w:val="left"/>
      <w:pPr>
        <w:ind w:left="2160" w:hanging="360"/>
      </w:pPr>
    </w:lvl>
    <w:lvl w:ilvl="3" w:tplc="65828C62">
      <w:start w:val="1"/>
      <w:numFmt w:val="bullet"/>
      <w:lvlText w:val="●"/>
      <w:lvlJc w:val="left"/>
      <w:pPr>
        <w:ind w:left="2880" w:hanging="360"/>
      </w:pPr>
    </w:lvl>
    <w:lvl w:ilvl="4" w:tplc="23D62502">
      <w:start w:val="1"/>
      <w:numFmt w:val="bullet"/>
      <w:lvlText w:val="○"/>
      <w:lvlJc w:val="left"/>
      <w:pPr>
        <w:ind w:left="3600" w:hanging="360"/>
      </w:pPr>
    </w:lvl>
    <w:lvl w:ilvl="5" w:tplc="2F72911C">
      <w:start w:val="1"/>
      <w:numFmt w:val="bullet"/>
      <w:lvlText w:val="■"/>
      <w:lvlJc w:val="left"/>
      <w:pPr>
        <w:ind w:left="4320" w:hanging="360"/>
      </w:pPr>
    </w:lvl>
    <w:lvl w:ilvl="6" w:tplc="8102C124">
      <w:start w:val="1"/>
      <w:numFmt w:val="bullet"/>
      <w:lvlText w:val="●"/>
      <w:lvlJc w:val="left"/>
      <w:pPr>
        <w:ind w:left="5040" w:hanging="360"/>
      </w:pPr>
    </w:lvl>
    <w:lvl w:ilvl="7" w:tplc="3A76483E">
      <w:start w:val="1"/>
      <w:numFmt w:val="bullet"/>
      <w:lvlText w:val="●"/>
      <w:lvlJc w:val="left"/>
      <w:pPr>
        <w:ind w:left="5760" w:hanging="360"/>
      </w:pPr>
    </w:lvl>
    <w:lvl w:ilvl="8" w:tplc="D5A0ECFE">
      <w:start w:val="1"/>
      <w:numFmt w:val="bullet"/>
      <w:lvlText w:val="●"/>
      <w:lvlJc w:val="left"/>
      <w:pPr>
        <w:ind w:left="6480" w:hanging="360"/>
      </w:pPr>
    </w:lvl>
  </w:abstractNum>
  <w:num w:numId="1" w16cid:durableId="326547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E67"/>
    <w:rsid w:val="001A3FB5"/>
    <w:rsid w:val="006566D2"/>
    <w:rsid w:val="007A52ED"/>
    <w:rsid w:val="00974432"/>
    <w:rsid w:val="00A44E67"/>
    <w:rsid w:val="00BC09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C3771"/>
  <w15:docId w15:val="{BD6C0F71-2B9D-4A03-94E2-434929705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20"/>
      <w:outlineLvl w:val="0"/>
    </w:pPr>
    <w:rPr>
      <w:b/>
      <w:bCs/>
      <w:sz w:val="28"/>
      <w:szCs w:val="28"/>
    </w:rPr>
  </w:style>
  <w:style w:type="paragraph" w:styleId="Heading2">
    <w:name w:val="heading 2"/>
    <w:uiPriority w:val="9"/>
    <w:unhideWhenUsed/>
    <w:qFormat/>
    <w:pPr>
      <w:spacing w:before="200" w:after="80"/>
      <w:outlineLvl w:val="1"/>
    </w:pPr>
    <w:rPr>
      <w:b/>
      <w:bCs/>
      <w:sz w:val="25"/>
      <w:szCs w:val="25"/>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10</Pages>
  <Words>2665</Words>
  <Characters>15194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Dev Sudersan</cp:lastModifiedBy>
  <cp:revision>3</cp:revision>
  <dcterms:created xsi:type="dcterms:W3CDTF">2026-03-28T20:53:00Z</dcterms:created>
  <dcterms:modified xsi:type="dcterms:W3CDTF">2026-03-28T21:18:00Z</dcterms:modified>
</cp:coreProperties>
</file>