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ED5A" w14:textId="3189B23D" w:rsidR="00D9436C" w:rsidRDefault="00D9436C"/>
    <w:p w14:paraId="599791DE" w14:textId="77777777" w:rsidR="009716EF" w:rsidRPr="009716EF" w:rsidRDefault="009716EF" w:rsidP="009716EF">
      <w:pPr>
        <w:spacing w:line="480" w:lineRule="auto"/>
        <w:jc w:val="both"/>
        <w:rPr>
          <w:rFonts w:ascii="Arial" w:eastAsia="Calibri" w:hAnsi="Arial" w:cs="Arial"/>
          <w:bCs/>
          <w:kern w:val="0"/>
          <w:lang w:val="en-US"/>
          <w14:ligatures w14:val="none"/>
        </w:rPr>
      </w:pPr>
      <w:r w:rsidRPr="009716EF">
        <w:rPr>
          <w:rFonts w:ascii="Calibri" w:eastAsia="Calibri" w:hAnsi="Calibri" w:cs="Times New Roman"/>
          <w:noProof/>
          <w:kern w:val="0"/>
          <w:lang w:val="en-US"/>
          <w14:ligatures w14:val="none"/>
        </w:rPr>
        <w:drawing>
          <wp:inline distT="0" distB="0" distL="0" distR="0" wp14:anchorId="7C7A3A70" wp14:editId="7820CA67">
            <wp:extent cx="5731510" cy="3223895"/>
            <wp:effectExtent l="0" t="0" r="2540" b="0"/>
            <wp:docPr id="2221320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01501" name=""/>
                    <pic:cNvPicPr/>
                  </pic:nvPicPr>
                  <pic:blipFill>
                    <a:blip r:embed="rId5">
                      <a:extLst>
                        <a:ext uri="{96DAC541-7B7A-43D3-8B79-37D633B846F1}">
                          <asvg:svgBlip xmlns:asvg="http://schemas.microsoft.com/office/drawing/2016/SVG/main" r:embed="rId6"/>
                        </a:ext>
                      </a:extLst>
                    </a:blip>
                    <a:stretch>
                      <a:fillRect/>
                    </a:stretch>
                  </pic:blipFill>
                  <pic:spPr>
                    <a:xfrm>
                      <a:off x="0" y="0"/>
                      <a:ext cx="5731510" cy="3223895"/>
                    </a:xfrm>
                    <a:prstGeom prst="rect">
                      <a:avLst/>
                    </a:prstGeom>
                  </pic:spPr>
                </pic:pic>
              </a:graphicData>
            </a:graphic>
          </wp:inline>
        </w:drawing>
      </w:r>
    </w:p>
    <w:p w14:paraId="26C3CA84" w14:textId="77777777" w:rsidR="009716EF" w:rsidRPr="009716EF" w:rsidRDefault="009716EF" w:rsidP="009716EF">
      <w:pPr>
        <w:spacing w:after="0" w:line="240" w:lineRule="auto"/>
        <w:jc w:val="both"/>
        <w:rPr>
          <w:rFonts w:ascii="Arial" w:eastAsia="Calibri" w:hAnsi="Arial" w:cs="Arial"/>
          <w:kern w:val="0"/>
          <w:sz w:val="20"/>
          <w:szCs w:val="20"/>
          <w14:ligatures w14:val="none"/>
        </w:rPr>
      </w:pPr>
      <w:r w:rsidRPr="009716EF">
        <w:rPr>
          <w:rFonts w:ascii="Arial" w:eastAsia="Calibri" w:hAnsi="Arial" w:cs="Arial"/>
          <w:b/>
          <w:bCs/>
          <w:noProof/>
          <w:kern w:val="0"/>
          <w:sz w:val="20"/>
          <w:szCs w:val="20"/>
          <w14:ligatures w14:val="none"/>
        </w:rPr>
        <mc:AlternateContent>
          <mc:Choice Requires="wpi">
            <w:drawing>
              <wp:anchor distT="0" distB="0" distL="114300" distR="114300" simplePos="0" relativeHeight="251659264" behindDoc="0" locked="0" layoutInCell="1" allowOverlap="1" wp14:anchorId="1D01CB07" wp14:editId="68D69DE3">
                <wp:simplePos x="0" y="0"/>
                <wp:positionH relativeFrom="column">
                  <wp:posOffset>542625</wp:posOffset>
                </wp:positionH>
                <wp:positionV relativeFrom="paragraph">
                  <wp:posOffset>353895</wp:posOffset>
                </wp:positionV>
                <wp:extent cx="360" cy="360"/>
                <wp:effectExtent l="57150" t="57150" r="57150" b="57150"/>
                <wp:wrapNone/>
                <wp:docPr id="21179234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D5CED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1.35pt;margin-top:26.4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">
                <v:imagedata r:id="rId8" o:title=""/>
              </v:shape>
            </w:pict>
          </mc:Fallback>
        </mc:AlternateContent>
      </w:r>
      <w:r w:rsidRPr="009716EF">
        <w:rPr>
          <w:rFonts w:ascii="Arial" w:eastAsia="Calibri" w:hAnsi="Arial" w:cs="Arial"/>
          <w:b/>
          <w:bCs/>
          <w:kern w:val="0"/>
          <w:sz w:val="20"/>
          <w:szCs w:val="20"/>
          <w14:ligatures w14:val="none"/>
        </w:rPr>
        <w:t>Supplementary Fig. S1. Pretreatment HIV drug resistance profiles.</w:t>
      </w:r>
      <w:r w:rsidRPr="009716EF">
        <w:rPr>
          <w:rFonts w:ascii="Arial" w:eastAsia="Calibri" w:hAnsi="Arial" w:cs="Arial"/>
          <w:kern w:val="0"/>
          <w:sz w:val="20"/>
          <w:szCs w:val="20"/>
          <w14:ligatures w14:val="none"/>
        </w:rPr>
        <w:br/>
        <w:t>(a) Distribution of pretreatment HIV drug resistance mutations (HIVDRMs) detected by next-generation sequencing (NGS), categorized as majority variants (≥20%) and minority variants (&lt;20%). Only HIVDRMs detected in the study population are shown; mutations with zero frequency at both majority and minority variant levels are not displayed. Mutations are grouped according to their corresponding antiretroviral drug classes, with horizontal lines indicating class boundaries (NNRTI: L100I–G190ASE; NRTI: M184IV–K219QE; PI: D30N–G48V; INSTI: T66K–Q148HRK).</w:t>
      </w:r>
      <w:r w:rsidRPr="009716EF">
        <w:rPr>
          <w:rFonts w:ascii="Arial" w:eastAsia="Calibri" w:hAnsi="Arial" w:cs="Arial"/>
          <w:kern w:val="0"/>
          <w:sz w:val="20"/>
          <w:szCs w:val="20"/>
          <w14:ligatures w14:val="none"/>
        </w:rPr>
        <w:br/>
      </w:r>
    </w:p>
    <w:p w14:paraId="403CEDC3" w14:textId="77777777" w:rsidR="009716EF" w:rsidRPr="009716EF" w:rsidRDefault="009716EF" w:rsidP="009716EF">
      <w:pPr>
        <w:spacing w:line="240" w:lineRule="auto"/>
        <w:jc w:val="both"/>
        <w:rPr>
          <w:rFonts w:ascii="Arial" w:eastAsia="Calibri" w:hAnsi="Arial" w:cs="Arial"/>
          <w:kern w:val="0"/>
          <w:sz w:val="20"/>
          <w:szCs w:val="20"/>
          <w14:ligatures w14:val="none"/>
        </w:rPr>
      </w:pPr>
      <w:r w:rsidRPr="009716EF">
        <w:rPr>
          <w:rFonts w:ascii="Arial" w:eastAsia="Calibri" w:hAnsi="Arial" w:cs="Arial"/>
          <w:kern w:val="0"/>
          <w:sz w:val="20"/>
          <w:szCs w:val="20"/>
          <w14:ligatures w14:val="none"/>
        </w:rPr>
        <w:t xml:space="preserve">(b) Intra-class antiretroviral (ARV) drug resistance showing the proportion of individuals with </w:t>
      </w:r>
      <w:proofErr w:type="spellStart"/>
      <w:r w:rsidRPr="009716EF">
        <w:rPr>
          <w:rFonts w:ascii="Arial" w:eastAsia="Calibri" w:hAnsi="Arial" w:cs="Arial"/>
          <w:kern w:val="0"/>
          <w:sz w:val="20"/>
          <w:szCs w:val="20"/>
          <w14:ligatures w14:val="none"/>
        </w:rPr>
        <w:t>resistanceto</w:t>
      </w:r>
      <w:proofErr w:type="spellEnd"/>
      <w:r w:rsidRPr="009716EF">
        <w:rPr>
          <w:rFonts w:ascii="Arial" w:eastAsia="Calibri" w:hAnsi="Arial" w:cs="Arial"/>
          <w:kern w:val="0"/>
          <w:sz w:val="20"/>
          <w:szCs w:val="20"/>
          <w14:ligatures w14:val="none"/>
        </w:rPr>
        <w:t xml:space="preserve"> each drug class. HIVDRMs were grouped by ARV class and variant frequency (majority ≥20%, minority &lt;20%). Overall resistance represents the proportion of participants with at least one pretreatment HIV drug resistance mutation. PI, protease inhibitors; NNRTI, non-nucleoside reverse transcriptase inhibitors; NRTI, nucleoside reverse transcriptase inhibitors; INSTI, integrase strand transfer inhibitors.</w:t>
      </w:r>
    </w:p>
    <w:p w14:paraId="0933ED90" w14:textId="77777777" w:rsidR="009716EF" w:rsidRDefault="009716EF"/>
    <w:sectPr w:rsidR="00971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EF"/>
    <w:rsid w:val="004E117B"/>
    <w:rsid w:val="00566D6F"/>
    <w:rsid w:val="009716EF"/>
    <w:rsid w:val="00CA6E07"/>
    <w:rsid w:val="00D9436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CDC5"/>
  <w15:chartTrackingRefBased/>
  <w15:docId w15:val="{6CA3C1B8-65F9-4E2A-BFAD-557B76BF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6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6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6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6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6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6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6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6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6EF"/>
    <w:rPr>
      <w:rFonts w:eastAsiaTheme="majorEastAsia" w:cstheme="majorBidi"/>
      <w:color w:val="272727" w:themeColor="text1" w:themeTint="D8"/>
    </w:rPr>
  </w:style>
  <w:style w:type="paragraph" w:styleId="Title">
    <w:name w:val="Title"/>
    <w:basedOn w:val="Normal"/>
    <w:next w:val="Normal"/>
    <w:link w:val="TitleChar"/>
    <w:uiPriority w:val="10"/>
    <w:qFormat/>
    <w:rsid w:val="00971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6EF"/>
    <w:pPr>
      <w:spacing w:before="160"/>
      <w:jc w:val="center"/>
    </w:pPr>
    <w:rPr>
      <w:i/>
      <w:iCs/>
      <w:color w:val="404040" w:themeColor="text1" w:themeTint="BF"/>
    </w:rPr>
  </w:style>
  <w:style w:type="character" w:customStyle="1" w:styleId="QuoteChar">
    <w:name w:val="Quote Char"/>
    <w:basedOn w:val="DefaultParagraphFont"/>
    <w:link w:val="Quote"/>
    <w:uiPriority w:val="29"/>
    <w:rsid w:val="009716EF"/>
    <w:rPr>
      <w:i/>
      <w:iCs/>
      <w:color w:val="404040" w:themeColor="text1" w:themeTint="BF"/>
    </w:rPr>
  </w:style>
  <w:style w:type="paragraph" w:styleId="ListParagraph">
    <w:name w:val="List Paragraph"/>
    <w:basedOn w:val="Normal"/>
    <w:uiPriority w:val="34"/>
    <w:qFormat/>
    <w:rsid w:val="009716EF"/>
    <w:pPr>
      <w:ind w:left="720"/>
      <w:contextualSpacing/>
    </w:pPr>
  </w:style>
  <w:style w:type="character" w:styleId="IntenseEmphasis">
    <w:name w:val="Intense Emphasis"/>
    <w:basedOn w:val="DefaultParagraphFont"/>
    <w:uiPriority w:val="21"/>
    <w:qFormat/>
    <w:rsid w:val="009716EF"/>
    <w:rPr>
      <w:i/>
      <w:iCs/>
      <w:color w:val="2F5496" w:themeColor="accent1" w:themeShade="BF"/>
    </w:rPr>
  </w:style>
  <w:style w:type="paragraph" w:styleId="IntenseQuote">
    <w:name w:val="Intense Quote"/>
    <w:basedOn w:val="Normal"/>
    <w:next w:val="Normal"/>
    <w:link w:val="IntenseQuoteChar"/>
    <w:uiPriority w:val="30"/>
    <w:qFormat/>
    <w:rsid w:val="00971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6EF"/>
    <w:rPr>
      <w:i/>
      <w:iCs/>
      <w:color w:val="2F5496" w:themeColor="accent1" w:themeShade="BF"/>
    </w:rPr>
  </w:style>
  <w:style w:type="character" w:styleId="IntenseReference">
    <w:name w:val="Intense Reference"/>
    <w:basedOn w:val="DefaultParagraphFont"/>
    <w:uiPriority w:val="32"/>
    <w:qFormat/>
    <w:rsid w:val="00971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2T01:47:06.073"/>
    </inkml:context>
    <inkml:brush xml:id="br0">
      <inkml:brushProperty name="width" value="0.1" units="cm"/>
      <inkml:brushProperty name="height" value="0.1" units="cm"/>
      <inkml:brushProperty name="color" value="#008C3A"/>
    </inkml:brush>
  </inkml:definitions>
  <inkml:trace contextRef="#ctx0" brushRef="#br0">1 1 9830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4CC14D04-2806-49C0-86EB-BBB306A4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Kyeyune</dc:creator>
  <cp:keywords/>
  <dc:description/>
  <cp:lastModifiedBy>Fred Kyeyune</cp:lastModifiedBy>
  <cp:revision>2</cp:revision>
  <dcterms:created xsi:type="dcterms:W3CDTF">2026-04-07T01:40:00Z</dcterms:created>
  <dcterms:modified xsi:type="dcterms:W3CDTF">2026-04-07T01:40:00Z</dcterms:modified>
</cp:coreProperties>
</file>