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prisma-2020-checklist"/>
    <w:p>
      <w:pPr>
        <w:pStyle w:val="Heading1"/>
      </w:pPr>
      <w:r>
        <w:t xml:space="preserve">PRISMA 2020 Checklist</w:t>
      </w:r>
    </w:p>
    <w:p>
      <w:pPr>
        <w:pStyle w:val="FirstParagraph"/>
      </w:pPr>
      <w:r>
        <w:t xml:space="preserve">Applicable items completed for the automated review component of this methods validation study. Items marked N/A are not applicable because the primary study objective is pipeline validation, not a de novo systematic review.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Section</w:t>
            </w:r>
          </w:p>
        </w:tc>
        <w:tc>
          <w:tcPr/>
          <w:p>
            <w:pPr>
              <w:pStyle w:val="Compact"/>
            </w:pPr>
            <w:r>
              <w:t xml:space="preserve">Item #</w:t>
            </w:r>
          </w:p>
        </w:tc>
        <w:tc>
          <w:tcPr/>
          <w:p>
            <w:pPr>
              <w:pStyle w:val="Compact"/>
            </w:pPr>
            <w:r>
              <w:t xml:space="preserve">Checklist item</w:t>
            </w:r>
          </w:p>
        </w:tc>
        <w:tc>
          <w:tcPr/>
          <w:p>
            <w:pPr>
              <w:pStyle w:val="Compact"/>
            </w:pPr>
            <w:r>
              <w:t xml:space="preserve">Reported on page/section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Title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Identify the report as a systematic review</w:t>
            </w:r>
          </w:p>
        </w:tc>
        <w:tc>
          <w:tcPr/>
          <w:p>
            <w:pPr>
              <w:pStyle w:val="Compact"/>
            </w:pPr>
            <w:r>
              <w:t xml:space="preserve">Title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Abstract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Structured summary</w:t>
            </w:r>
          </w:p>
        </w:tc>
        <w:tc>
          <w:tcPr/>
          <w:p>
            <w:pPr>
              <w:pStyle w:val="Compact"/>
            </w:pPr>
            <w:r>
              <w:t xml:space="preserve">Abstract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Introduction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Rationale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Rationale for the review</w:t>
            </w:r>
          </w:p>
        </w:tc>
        <w:tc>
          <w:tcPr/>
          <w:p>
            <w:pPr>
              <w:pStyle w:val="Compact"/>
            </w:pPr>
            <w:r>
              <w:t xml:space="preserve">Introduction, para 1–2</w:t>
            </w:r>
          </w:p>
        </w:tc>
      </w:tr>
      <w:tr>
        <w:tc>
          <w:tcPr/>
          <w:p>
            <w:pPr>
              <w:pStyle w:val="Compact"/>
            </w:pPr>
            <w:r>
              <w:t xml:space="preserve">Objectives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Research question (PICO)</w:t>
            </w:r>
          </w:p>
        </w:tc>
        <w:tc>
          <w:tcPr/>
          <w:p>
            <w:pPr>
              <w:pStyle w:val="Compact"/>
            </w:pPr>
            <w:r>
              <w:t xml:space="preserve">Introduction, para 4; Methods, Study design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Methods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Eligibility criteria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Inclusion and exclusion criteria</w:t>
            </w:r>
          </w:p>
        </w:tc>
        <w:tc>
          <w:tcPr/>
          <w:p>
            <w:pPr>
              <w:pStyle w:val="Compact"/>
            </w:pPr>
            <w:r>
              <w:t xml:space="preserve">Methods, Stage 2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Information sources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Databases and date of search</w:t>
            </w:r>
          </w:p>
        </w:tc>
        <w:tc>
          <w:tcPr/>
          <w:p>
            <w:pPr>
              <w:pStyle w:val="Compact"/>
            </w:pPr>
            <w:r>
              <w:t xml:space="preserve">Methods, Stage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Search strategy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Full search strategy</w:t>
            </w:r>
          </w:p>
        </w:tc>
        <w:tc>
          <w:tcPr/>
          <w:p>
            <w:pPr>
              <w:pStyle w:val="Compact"/>
            </w:pPr>
            <w:r>
              <w:t xml:space="preserve">Methods, Stage 1; Supplementary (config file)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Selection process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Screening process</w:t>
            </w:r>
          </w:p>
        </w:tc>
        <w:tc>
          <w:tcPr/>
          <w:p>
            <w:pPr>
              <w:pStyle w:val="Compact"/>
            </w:pPr>
            <w:r>
              <w:t xml:space="preserve">Methods, Stage 2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collection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Data extraction process</w:t>
            </w:r>
          </w:p>
        </w:tc>
        <w:tc>
          <w:tcPr/>
          <w:p>
            <w:pPr>
              <w:pStyle w:val="Compact"/>
            </w:pPr>
            <w:r>
              <w:t xml:space="preserve">Methods, Stage 3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items</w:t>
            </w:r>
          </w:p>
        </w:tc>
        <w:tc>
          <w:tcPr/>
          <w:p>
            <w:pPr>
              <w:pStyle w:val="Compact"/>
            </w:pPr>
            <w:r>
              <w:t xml:space="preserve">10a</w:t>
            </w:r>
          </w:p>
        </w:tc>
        <w:tc>
          <w:tcPr/>
          <w:p>
            <w:pPr>
              <w:pStyle w:val="Compact"/>
            </w:pPr>
            <w:r>
              <w:t xml:space="preserve">Outcomes sought</w:t>
            </w:r>
          </w:p>
        </w:tc>
        <w:tc>
          <w:tcPr/>
          <w:p>
            <w:pPr>
              <w:pStyle w:val="Compact"/>
            </w:pPr>
            <w:r>
              <w:t xml:space="preserve">Methods, Stage 2 (criterion 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Study risk of bias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Methods for RoB assessment</w:t>
            </w:r>
          </w:p>
        </w:tc>
        <w:tc>
          <w:tcPr/>
          <w:p>
            <w:pPr>
              <w:pStyle w:val="Compact"/>
            </w:pPr>
            <w:r>
              <w:t xml:space="preserve">Methods, Stage 3 (RoB 2)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 measures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Effect measures used</w:t>
            </w:r>
          </w:p>
        </w:tc>
        <w:tc>
          <w:tcPr/>
          <w:p>
            <w:pPr>
              <w:pStyle w:val="Compact"/>
            </w:pPr>
            <w:r>
              <w:t xml:space="preserve">Methods, Stage 4 (RR)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Synthesis methods</w:t>
            </w:r>
          </w:p>
        </w:tc>
        <w:tc>
          <w:tcPr/>
          <w:p>
            <w:pPr>
              <w:pStyle w:val="Compact"/>
            </w:pPr>
            <w:r>
              <w:t xml:space="preserve">13a–f</w:t>
            </w:r>
          </w:p>
        </w:tc>
        <w:tc>
          <w:tcPr/>
          <w:p>
            <w:pPr>
              <w:pStyle w:val="Compact"/>
            </w:pPr>
            <w:r>
              <w:t xml:space="preserve">Meta-analysis methods</w:t>
            </w:r>
          </w:p>
        </w:tc>
        <w:tc>
          <w:tcPr/>
          <w:p>
            <w:pPr>
              <w:pStyle w:val="Compact"/>
            </w:pPr>
            <w:r>
              <w:t xml:space="preserve">Methods, Stage 4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Reporting bias</w:t>
            </w:r>
          </w:p>
        </w:tc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Methods for assessing publication bias</w:t>
            </w:r>
          </w:p>
        </w:tc>
        <w:tc>
          <w:tcPr/>
          <w:p>
            <w:pPr>
              <w:pStyle w:val="Compact"/>
            </w:pPr>
            <w:r>
              <w:t xml:space="preserve">Methods, Stage 4 (Egger’s test)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Certainty assessment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GRADE or equivalent</w:t>
            </w:r>
          </w:p>
        </w:tc>
        <w:tc>
          <w:tcPr/>
          <w:p>
            <w:pPr>
              <w:pStyle w:val="Compact"/>
            </w:pPr>
            <w:r>
              <w:t xml:space="preserve">N/A — not performed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Results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Study selection</w:t>
            </w:r>
          </w:p>
        </w:tc>
        <w:tc>
          <w:tcPr/>
          <w:p>
            <w:pPr>
              <w:pStyle w:val="Compact"/>
            </w:pPr>
            <w:r>
              <w:t xml:space="preserve">16a–b</w:t>
            </w:r>
          </w:p>
        </w:tc>
        <w:tc>
          <w:tcPr/>
          <w:p>
            <w:pPr>
              <w:pStyle w:val="Compact"/>
            </w:pPr>
            <w:r>
              <w:t xml:space="preserve">Flow diagram, excluded studies</w:t>
            </w:r>
          </w:p>
        </w:tc>
        <w:tc>
          <w:tcPr/>
          <w:p>
            <w:pPr>
              <w:pStyle w:val="Compact"/>
            </w:pPr>
            <w:r>
              <w:t xml:space="preserve">Figure 2, Results (Screening)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Study characteristics</w:t>
            </w:r>
          </w:p>
        </w:tc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t xml:space="preserve">Characteristics of included studies</w:t>
            </w:r>
          </w:p>
        </w:tc>
        <w:tc>
          <w:tcPr/>
          <w:p>
            <w:pPr>
              <w:pStyle w:val="Compact"/>
            </w:pPr>
            <w:r>
              <w:t xml:space="preserve">Table 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Risk of bias in studies</w:t>
            </w:r>
          </w:p>
        </w:tc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t xml:space="preserve">RoB results</w:t>
            </w:r>
          </w:p>
        </w:tc>
        <w:tc>
          <w:tcPr/>
          <w:p>
            <w:pPr>
              <w:pStyle w:val="Compact"/>
            </w:pPr>
            <w:r>
              <w:t xml:space="preserve">Table 2 (RoB column)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Individual results</w:t>
            </w:r>
          </w:p>
        </w:tc>
        <w:tc>
          <w:tcPr/>
          <w:p>
            <w:pPr>
              <w:pStyle w:val="Compac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  <w:r>
              <w:t xml:space="preserve">Study-level data</w:t>
            </w:r>
          </w:p>
        </w:tc>
        <w:tc>
          <w:tcPr/>
          <w:p>
            <w:pPr>
              <w:pStyle w:val="Compact"/>
            </w:pPr>
            <w:r>
              <w:t xml:space="preserve">Figure 3, Table 2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Synthesis results</w:t>
            </w:r>
          </w:p>
        </w:tc>
        <w:tc>
          <w:tcPr/>
          <w:p>
            <w:pPr>
              <w:pStyle w:val="Compact"/>
            </w:pPr>
            <w:r>
              <w:t xml:space="preserve">20a–d</w:t>
            </w:r>
          </w:p>
        </w:tc>
        <w:tc>
          <w:tcPr/>
          <w:p>
            <w:pPr>
              <w:pStyle w:val="Compact"/>
            </w:pPr>
            <w:r>
              <w:t xml:space="preserve">Pooled estimates, heterogeneity</w:t>
            </w:r>
          </w:p>
        </w:tc>
        <w:tc>
          <w:tcPr/>
          <w:p>
            <w:pPr>
              <w:pStyle w:val="Compact"/>
            </w:pPr>
            <w:r>
              <w:t xml:space="preserve">Results (Meta-analytic synthesis), Table 3, Figure 3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Reporting biases</w:t>
            </w:r>
          </w:p>
        </w:tc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t xml:space="preserve">Publication bias results</w:t>
            </w:r>
          </w:p>
        </w:tc>
        <w:tc>
          <w:tcPr/>
          <w:p>
            <w:pPr>
              <w:pStyle w:val="Compact"/>
            </w:pPr>
            <w:r>
              <w:t xml:space="preserve">Results (Egger’s p = 0.46), Figure 4</w:t>
            </w:r>
          </w:p>
        </w:tc>
      </w:tr>
      <w:tr>
        <w:tc>
          <w:tcPr/>
          <w:p>
            <w:pPr>
              <w:pStyle w:val="Compact"/>
            </w:pPr>
            <w:r>
              <w:t xml:space="preserve">Certainty of evidence</w:t>
            </w:r>
          </w:p>
        </w:tc>
        <w:tc>
          <w:tcPr/>
          <w:p>
            <w:pPr>
              <w:pStyle w:val="Compac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  <w:r>
              <w:t xml:space="preserve">GRADE assessment</w:t>
            </w:r>
          </w:p>
        </w:tc>
        <w:tc>
          <w:tcPr/>
          <w:p>
            <w:pPr>
              <w:pStyle w:val="Compact"/>
            </w:pPr>
            <w:r>
              <w:t xml:space="preserve">N/A — not performed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Discussion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Discussion</w:t>
            </w:r>
          </w:p>
        </w:tc>
        <w:tc>
          <w:tcPr/>
          <w:p>
            <w:pPr>
              <w:pStyle w:val="Compact"/>
            </w:pPr>
            <w:r>
              <w:t xml:space="preserve">23a–d</w:t>
            </w:r>
          </w:p>
        </w:tc>
        <w:tc>
          <w:tcPr/>
          <w:p>
            <w:pPr>
              <w:pStyle w:val="Compact"/>
            </w:pPr>
            <w:r>
              <w:t xml:space="preserve">Interpretation, limitations</w:t>
            </w:r>
          </w:p>
        </w:tc>
        <w:tc>
          <w:tcPr/>
          <w:p>
            <w:pPr>
              <w:pStyle w:val="Compact"/>
            </w:pPr>
            <w:r>
              <w:t xml:space="preserve">Discussion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Registration</w:t>
            </w:r>
          </w:p>
        </w:tc>
        <w:tc>
          <w:tcPr/>
          <w:p>
            <w:pPr>
              <w:pStyle w:val="Compact"/>
            </w:pPr>
            <w:r>
              <w:t xml:space="preserve">24a</w:t>
            </w:r>
          </w:p>
        </w:tc>
        <w:tc>
          <w:tcPr/>
          <w:p>
            <w:pPr>
              <w:pStyle w:val="Compact"/>
            </w:pPr>
            <w:r>
              <w:t xml:space="preserve">Registration details</w:t>
            </w:r>
          </w:p>
        </w:tc>
        <w:tc>
          <w:tcPr/>
          <w:p>
            <w:pPr>
              <w:pStyle w:val="Compact"/>
            </w:pPr>
            <w:r>
              <w:t xml:space="preserve">Declarations (not registered; rationale provided)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Protocol</w:t>
            </w:r>
          </w:p>
        </w:tc>
        <w:tc>
          <w:tcPr/>
          <w:p>
            <w:pPr>
              <w:pStyle w:val="Compact"/>
            </w:pPr>
            <w:r>
              <w:t xml:space="preserve">24b</w:t>
            </w:r>
          </w:p>
        </w:tc>
        <w:tc>
          <w:tcPr/>
          <w:p>
            <w:pPr>
              <w:pStyle w:val="Compact"/>
            </w:pPr>
            <w:r>
              <w:t xml:space="preserve">Protocol access</w:t>
            </w:r>
          </w:p>
        </w:tc>
        <w:tc>
          <w:tcPr/>
          <w:p>
            <w:pPr>
              <w:pStyle w:val="Compact"/>
            </w:pPr>
            <w:r>
              <w:t xml:space="preserve">Supplementary (protocol.json)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Support</w:t>
            </w:r>
          </w:p>
        </w:tc>
        <w:tc>
          <w:tcPr/>
          <w:p>
            <w:pPr>
              <w:pStyle w:val="Compact"/>
            </w:pPr>
            <w:r>
              <w:t xml:space="preserve">24c</w:t>
            </w:r>
          </w:p>
        </w:tc>
        <w:tc>
          <w:tcPr/>
          <w:p>
            <w:pPr>
              <w:pStyle w:val="Compact"/>
            </w:pPr>
            <w:r>
              <w:t xml:space="preserve">Funding</w:t>
            </w:r>
          </w:p>
        </w:tc>
        <w:tc>
          <w:tcPr/>
          <w:p>
            <w:pPr>
              <w:pStyle w:val="Compact"/>
            </w:pPr>
            <w:r>
              <w:t xml:space="preserve">Declarations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Competing interests</w:t>
            </w:r>
          </w:p>
        </w:tc>
        <w:tc>
          <w:tcPr/>
          <w:p>
            <w:pPr>
              <w:pStyle w:val="Compact"/>
            </w:pPr>
            <w:r>
              <w:t xml:space="preserve">24d</w:t>
            </w:r>
          </w:p>
        </w:tc>
        <w:tc>
          <w:tcPr/>
          <w:p>
            <w:pPr>
              <w:pStyle w:val="Compact"/>
            </w:pPr>
            <w:r>
              <w:t xml:space="preserve">COI</w:t>
            </w:r>
          </w:p>
        </w:tc>
        <w:tc>
          <w:tcPr/>
          <w:p>
            <w:pPr>
              <w:pStyle w:val="Compact"/>
            </w:pPr>
            <w:r>
              <w:t xml:space="preserve">Declarations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availability</w:t>
            </w:r>
          </w:p>
        </w:tc>
        <w:tc>
          <w:tcPr/>
          <w:p>
            <w:pPr>
              <w:pStyle w:val="Compact"/>
            </w:pPr>
            <w:r>
              <w:t xml:space="preserve">24e</w:t>
            </w:r>
          </w:p>
        </w:tc>
        <w:tc>
          <w:tcPr/>
          <w:p>
            <w:pPr>
              <w:pStyle w:val="Compact"/>
            </w:pPr>
            <w:r>
              <w:t xml:space="preserve">Data/code access</w:t>
            </w:r>
          </w:p>
        </w:tc>
        <w:tc>
          <w:tcPr/>
          <w:p>
            <w:pPr>
              <w:pStyle w:val="Compact"/>
            </w:pPr>
            <w:r>
              <w:t xml:space="preserve">Declarations</w:t>
            </w:r>
          </w:p>
        </w:tc>
      </w:tr>
    </w:tbl>
    <w:bookmarkStart w:id="9" w:name="items-not-applicable"/>
    <w:p>
      <w:pPr>
        <w:pStyle w:val="Heading2"/>
      </w:pPr>
      <w:r>
        <w:t xml:space="preserve">Items Not Applicable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Item 15 (GRADE certainty assessment):</w:t>
      </w:r>
      <w:r>
        <w:t xml:space="preserve"> </w:t>
      </w:r>
      <w:r>
        <w:t xml:space="preserve">Not performed. The primary objective is pipeline validation, not clinical guideline development. GRADE assessment could be added as a future pipeline module.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Item 22 (Certainty of evidence results):</w:t>
      </w:r>
      <w:r>
        <w:t xml:space="preserve"> </w:t>
      </w:r>
      <w:r>
        <w:t xml:space="preserve">As above.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Item 24a (Registration):</w:t>
      </w:r>
      <w:r>
        <w:t xml:space="preserve"> </w:t>
      </w:r>
      <w:r>
        <w:t xml:space="preserve">Not prospectively registered on PROSPERO. Rationale: the primary study is a methods validation, not a de novo review. Acknowledged in Declarations.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2026-04-03T00:06:45Z</dcterms:created>
  <dcterms:modified xsi:type="dcterms:W3CDTF">2026-04-03T00:06:45Z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