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supplementary-materials"/>
    <w:p>
      <w:pPr>
        <w:pStyle w:val="Heading1"/>
      </w:pPr>
      <w:r>
        <w:t xml:space="preserve">Supplementary Materials</w:t>
      </w:r>
    </w:p>
    <w:bookmarkStart w:id="9" w:name="s0.-model-identifiers"/>
    <w:p>
      <w:pPr>
        <w:pStyle w:val="Heading2"/>
      </w:pPr>
      <w:r>
        <w:t xml:space="preserve">S0. Model Identifiers</w:t>
      </w:r>
    </w:p>
    <w:p>
      <w:pPr>
        <w:pStyle w:val="FirstParagraph"/>
      </w:pPr>
      <w:r>
        <w:t xml:space="preserve">The following model identifiers were used in all pipeline runs reported in the manuscript: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Screening:</w:t>
      </w:r>
      <w:r>
        <w:t xml:space="preserve"> </w:t>
      </w:r>
      <w:r>
        <w:t xml:space="preserve">Anthropic Claude Haiku 4.5 — model ID</w:t>
      </w:r>
      <w:r>
        <w:t xml:space="preserve"> </w:t>
      </w:r>
      <w:r>
        <w:rPr>
          <w:rStyle w:val="VerbatimChar"/>
        </w:rPr>
        <w:t xml:space="preserve">claude-haiku-4-5-20251001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Extraction and risk of bias:</w:t>
      </w:r>
      <w:r>
        <w:t xml:space="preserve"> </w:t>
      </w:r>
      <w:r>
        <w:t xml:space="preserve">Anthropic Claude Sonnet 4 — model ID</w:t>
      </w:r>
      <w:r>
        <w:t xml:space="preserve"> </w:t>
      </w:r>
      <w:r>
        <w:rPr>
          <w:rStyle w:val="VerbatimChar"/>
        </w:rPr>
        <w:t xml:space="preserve">claude-sonnet-4-20250514</w:t>
      </w:r>
    </w:p>
    <w:p>
      <w:pPr>
        <w:pStyle w:val="FirstParagraph"/>
      </w:pPr>
      <w:r>
        <w:t xml:space="preserve">All API calls used the Anthropic Messages API. Temperature was set to 0.3 for screening and 0.0 for extraction.</w:t>
      </w:r>
    </w:p>
    <w:bookmarkEnd w:id="9"/>
    <w:bookmarkStart w:id="14" w:name="s1.-prompt-templates"/>
    <w:p>
      <w:pPr>
        <w:pStyle w:val="Heading2"/>
      </w:pPr>
      <w:r>
        <w:t xml:space="preserve">S1. Prompt Templates</w:t>
      </w:r>
    </w:p>
    <w:bookmarkStart w:id="10" w:name="s1.1-screening-prompt"/>
    <w:p>
      <w:pPr>
        <w:pStyle w:val="Heading3"/>
      </w:pPr>
      <w:r>
        <w:t xml:space="preserve">S1.1 Screening Prompt</w:t>
      </w:r>
    </w:p>
    <w:p>
      <w:pPr>
        <w:pStyle w:val="FirstParagraph"/>
      </w:pPr>
      <w:r>
        <w:t xml:space="preserve">The full screening prompt template is available at</w:t>
      </w:r>
      <w:r>
        <w:t xml:space="preserve"> </w:t>
      </w:r>
      <w:r>
        <w:rPr>
          <w:rStyle w:val="VerbatimChar"/>
        </w:rPr>
        <w:t xml:space="preserve">prompts/screening_prompt.md</w:t>
      </w:r>
      <w:r>
        <w:t xml:space="preserve"> </w:t>
      </w:r>
      <w:r>
        <w:t xml:space="preserve">in the repository. Key design decisions: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Structured JSON output</w:t>
      </w:r>
      <w:r>
        <w:t xml:space="preserve"> </w:t>
      </w:r>
      <w:r>
        <w:t xml:space="preserve">with criterion-level assessments enables audit of which specific criteria drove each decision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“When in doubt, include”</w:t>
      </w:r>
      <w:r>
        <w:rPr>
          <w:b/>
          <w:bCs/>
        </w:rPr>
        <w:t xml:space="preserve"> </w:t>
      </w:r>
      <w:r>
        <w:rPr>
          <w:b/>
          <w:bCs/>
        </w:rPr>
        <w:t xml:space="preserve">instruction</w:t>
      </w:r>
      <w:r>
        <w:t xml:space="preserve"> </w:t>
      </w:r>
      <w:r>
        <w:t xml:space="preserve">with explicit confidence threshold (&gt;0.95 required for exclusion) prioritises sensitivity over specificity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Population definition</w:t>
      </w:r>
      <w:r>
        <w:t xml:space="preserve"> </w:t>
      </w:r>
      <w:r>
        <w:t xml:space="preserve">explicitly includes ARDS, VAP, and infection-related critical illness to capture studies included in major meta-analyses where sepsis populations overlap with these conditions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Primary RCT requirement</w:t>
      </w:r>
      <w:r>
        <w:t xml:space="preserve"> </w:t>
      </w:r>
      <w:r>
        <w:t xml:space="preserve">explicitly excludes secondary analyses, post-hoc analyses, and subgroup re-analyses of previously published trials — the main source of false positives in initial prompt iterations</w:t>
      </w:r>
    </w:p>
    <w:bookmarkEnd w:id="10"/>
    <w:bookmarkStart w:id="11" w:name="s1.2-extraction-prompt"/>
    <w:p>
      <w:pPr>
        <w:pStyle w:val="Heading3"/>
      </w:pPr>
      <w:r>
        <w:t xml:space="preserve">S1.2 Extraction Prompt</w:t>
      </w:r>
    </w:p>
    <w:p>
      <w:pPr>
        <w:pStyle w:val="FirstParagraph"/>
      </w:pPr>
      <w:r>
        <w:t xml:space="preserve">The full extraction prompt is at</w:t>
      </w:r>
      <w:r>
        <w:t xml:space="preserve"> </w:t>
      </w:r>
      <w:r>
        <w:rPr>
          <w:rStyle w:val="VerbatimChar"/>
        </w:rPr>
        <w:t xml:space="preserve">prompts/pico_extraction_prompt.md</w:t>
      </w:r>
      <w:r>
        <w:t xml:space="preserve">. Critical rules embedded in the prompt:</w:t>
      </w:r>
    </w:p>
    <w:p>
      <w:pPr>
        <w:pStyle w:val="Compact"/>
        <w:numPr>
          <w:ilvl w:val="0"/>
          <w:numId w:val="1003"/>
        </w:numPr>
      </w:pPr>
      <w:r>
        <w:t xml:space="preserve">Mortality fields must be</w:t>
      </w:r>
      <w:r>
        <w:t xml:space="preserve"> </w:t>
      </w:r>
      <w:r>
        <w:rPr>
          <w:b/>
          <w:bCs/>
        </w:rPr>
        <w:t xml:space="preserve">integer event counts</w:t>
      </w:r>
      <w:r>
        <w:t xml:space="preserve">, never percentages. If the text reports percentages, the LLM must compute the count (e.g., 22% of 259 = 57).</w:t>
      </w:r>
    </w:p>
    <w:p>
      <w:pPr>
        <w:pStyle w:val="Compact"/>
        <w:numPr>
          <w:ilvl w:val="0"/>
          <w:numId w:val="1003"/>
        </w:numPr>
      </w:pPr>
      <w:r>
        <w:t xml:space="preserve">Arm-level sample sizes (intervention N and control N) are required alongside event counts.</w:t>
      </w:r>
    </w:p>
    <w:p>
      <w:pPr>
        <w:pStyle w:val="Compact"/>
        <w:numPr>
          <w:ilvl w:val="0"/>
          <w:numId w:val="1003"/>
        </w:numPr>
      </w:pPr>
      <w:r>
        <w:t xml:space="preserve">Mortality timepoint hierarchy: hospital &gt; 28-day &gt; ICU &gt; 60-day &gt; 90-day.</w:t>
      </w:r>
    </w:p>
    <w:p>
      <w:pPr>
        <w:pStyle w:val="Compact"/>
        <w:numPr>
          <w:ilvl w:val="0"/>
          <w:numId w:val="1003"/>
        </w:numPr>
      </w:pPr>
      <w:r>
        <w:t xml:space="preserve">Article metadata (author, year, journal) is pre-filled from PubMed to prevent null identification fields.</w:t>
      </w:r>
    </w:p>
    <w:bookmarkEnd w:id="11"/>
    <w:bookmarkStart w:id="12" w:name="s1.3-self-verification-prompt"/>
    <w:p>
      <w:pPr>
        <w:pStyle w:val="Heading3"/>
      </w:pPr>
      <w:r>
        <w:t xml:space="preserve">S1.3 Self-Verification Prompt</w:t>
      </w:r>
    </w:p>
    <w:p>
      <w:pPr>
        <w:pStyle w:val="FirstParagraph"/>
      </w:pPr>
      <w:r>
        <w:t xml:space="preserve">The verification pass explicitly checks for:</w:t>
      </w:r>
      <w:r>
        <w:t xml:space="preserve"> </w:t>
      </w:r>
      <w:r>
        <w:t xml:space="preserve">- Percentage-to-count conversion errors (the most common failure mode)</w:t>
      </w:r>
      <w:r>
        <w:t xml:space="preserve"> </w:t>
      </w:r>
      <w:r>
        <w:t xml:space="preserve">- Swapped intervention/control values</w:t>
      </w:r>
      <w:r>
        <w:t xml:space="preserve"> </w:t>
      </w:r>
      <w:r>
        <w:t xml:space="preserve">- Missing denominators</w:t>
      </w:r>
      <w:r>
        <w:t xml:space="preserve"> </w:t>
      </w:r>
      <w:r>
        <w:t xml:space="preserve">- Whether the source text describes a primary RCT or a meta-analysis/secondary analysis</w:t>
      </w:r>
    </w:p>
    <w:bookmarkEnd w:id="12"/>
    <w:bookmarkStart w:id="13" w:name="s1.4-risk-of-bias-prompt"/>
    <w:p>
      <w:pPr>
        <w:pStyle w:val="Heading3"/>
      </w:pPr>
      <w:r>
        <w:t xml:space="preserve">S1.4 Risk of Bias Prompt</w:t>
      </w:r>
    </w:p>
    <w:p>
      <w:pPr>
        <w:pStyle w:val="FirstParagraph"/>
      </w:pPr>
      <w:r>
        <w:t xml:space="preserve">The RoB assessment prompt follows the Cochrane RoB 2 framework with 5 domains, requiring supporting quotes from the text for each judgment.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5" w:name="s2.-prompt-engineering-iterations"/>
    <w:p>
      <w:pPr>
        <w:pStyle w:val="Heading2"/>
      </w:pPr>
      <w:r>
        <w:t xml:space="preserve">S2. Prompt Engineering Iterations</w:t>
      </w:r>
    </w:p>
    <w:p>
      <w:pPr>
        <w:pStyle w:val="FirstParagraph"/>
      </w:pPr>
      <w:r>
        <w:t xml:space="preserve">The screening prompt underwent two major revisions based on validation results:</w:t>
      </w:r>
    </w:p>
    <w:p>
      <w:pPr>
        <w:pStyle w:val="BodyText"/>
      </w:pPr>
      <w:r>
        <w:rPr>
          <w:b/>
          <w:bCs/>
        </w:rPr>
        <w:t xml:space="preserve">Version 1 (baseline):</w:t>
      </w:r>
      <w:r>
        <w:t xml:space="preserve"> </w:t>
      </w:r>
      <w:r>
        <w:t xml:space="preserve">Standard PICO criteria with sepsis-only population definition.</w:t>
      </w:r>
      <w:r>
        <w:t xml:space="preserve"> </w:t>
      </w:r>
      <w:r>
        <w:t xml:space="preserve">- Result: Sensitivity 0.625, Specificity 0.865, Cohen’s kappa 0.196</w:t>
      </w:r>
      <w:r>
        <w:t xml:space="preserve"> </w:t>
      </w:r>
      <w:r>
        <w:t xml:space="preserve">- Failures: Missed ARDS/VAP studies (McAuley 2014, Papazian 2013); missed statin continuation trial (Kruger 2011); 15/28 false positives caused by JSON parse errors</w:t>
      </w:r>
    </w:p>
    <w:p>
      <w:pPr>
        <w:pStyle w:val="BodyText"/>
      </w:pPr>
      <w:r>
        <w:rPr>
          <w:b/>
          <w:bCs/>
        </w:rPr>
        <w:t xml:space="preserve">Version 2 (revised):</w:t>
      </w:r>
      <w:r>
        <w:t xml:space="preserve"> </w:t>
      </w:r>
      <w:r>
        <w:t xml:space="preserve">Broadened population to include ARDS/VAP/critical illness; clarified statin continuation as eligible; excluded secondary analyses; added</w:t>
      </w:r>
      <w:r>
        <w:t xml:space="preserve"> </w:t>
      </w:r>
      <w:r>
        <w:t xml:space="preserve">“respond with ONLY JSON”</w:t>
      </w:r>
      <w:r>
        <w:t xml:space="preserve"> </w:t>
      </w:r>
      <w:r>
        <w:t xml:space="preserve">instruction; fixed parser to handle trailing text.</w:t>
      </w:r>
      <w:r>
        <w:t xml:space="preserve"> </w:t>
      </w:r>
      <w:r>
        <w:t xml:space="preserve">- Result: Sensitivity 1.000, Specificity 0.981, Cohen’s kappa 0.791</w:t>
      </w:r>
      <w:r>
        <w:t xml:space="preserve"> </w:t>
      </w:r>
      <w:r>
        <w:t xml:space="preserve">- Improvement: All 3 false negatives recovered; false positives reduced from 28 to 4; JSON parse errors eliminated</w:t>
      </w:r>
    </w:p>
    <w:p>
      <w:pPr>
        <w:pStyle w:val="BodyText"/>
      </w:pPr>
      <w:r>
        <w:t xml:space="preserve">The extraction prompt underwent three iterations:</w:t>
      </w:r>
      <w:r>
        <w:t xml:space="preserve"> </w:t>
      </w:r>
      <w:r>
        <w:t xml:space="preserve">- V1: Percentages stored as event counts; missing metadata; wrong full texts used</w:t>
      </w:r>
      <w:r>
        <w:t xml:space="preserve"> </w:t>
      </w:r>
      <w:r>
        <w:t xml:space="preserve">- V2: Fixed pydantic validation; added metadata fallbacks; still percentage issues</w:t>
      </w:r>
      <w:r>
        <w:t xml:space="preserve"> </w:t>
      </w:r>
      <w:r>
        <w:t xml:space="preserve">- V3: Added explicit percentage-to-count conversion rules; added full-text sanity check; added timepoint hierarchy. Final accuracy: 4/7 exact match.</w:t>
      </w:r>
    </w:p>
    <w:p>
      <w:r>
        <w:pict>
          <v:rect style="width:0;height:1.5pt" o:hralign="center" o:hrstd="t" o:hr="t"/>
        </w:pict>
      </w:r>
    </w:p>
    <w:bookmarkEnd w:id="15"/>
    <w:bookmarkStart w:id="16" w:name="Xfe93b949f1f390bc789d62f72536518cc6442e5"/>
    <w:p>
      <w:pPr>
        <w:pStyle w:val="Heading2"/>
      </w:pPr>
      <w:r>
        <w:t xml:space="preserve">S3. Full-Text Retrieval and Sanity Checking</w:t>
      </w:r>
    </w:p>
    <w:p>
      <w:pPr>
        <w:pStyle w:val="FirstParagraph"/>
      </w:pPr>
      <w:r>
        <w:t xml:space="preserve">PMC full-text retrieval encountered two cases where the PMC ID in PubMed metadata pointed to an unrelated article:</w:t>
      </w:r>
      <w:r>
        <w:t xml:space="preserve"> </w:t>
      </w:r>
      <w:r>
        <w:t xml:space="preserve">- PMID 24835849 (Truwit 2014, SAILS trial) → PMC3524177 returned a general review article</w:t>
      </w:r>
      <w:r>
        <w:t xml:space="preserve"> </w:t>
      </w:r>
      <w:r>
        <w:t xml:space="preserve">- PMID 29142375 (Singh 2017) → PMC4241052 returned an unrelated article</w:t>
      </w:r>
    </w:p>
    <w:p>
      <w:pPr>
        <w:pStyle w:val="BodyText"/>
      </w:pPr>
      <w:r>
        <w:t xml:space="preserve">A title/author sanity check was implemented: after fetching the PMC XML, the system verifies that at least one author surname appears in the first 5000 characters and that &gt;30% of distinctive title words are present. Both mismatched articles were correctly rejected, and extraction fell back to abstract-only.</w:t>
      </w:r>
    </w:p>
    <w:p>
      <w:pPr>
        <w:pStyle w:val="BodyText"/>
      </w:pPr>
      <w:r>
        <w:t xml:space="preserve">This is a practical consideration for any automated extraction system relying on PMC. Cross-referencing PMC IDs should be treated as unreliable for a subset of articles.</w:t>
      </w:r>
    </w:p>
    <w:p>
      <w:r>
        <w:pict>
          <v:rect style="width:0;height:1.5pt" o:hralign="center" o:hrstd="t" o:hr="t"/>
        </w:pict>
      </w:r>
    </w:p>
    <w:bookmarkEnd w:id="16"/>
    <w:bookmarkStart w:id="17" w:name="s4.-individual-study-extraction-data"/>
    <w:p>
      <w:pPr>
        <w:pStyle w:val="Heading2"/>
      </w:pPr>
      <w:r>
        <w:t xml:space="preserve">S4. Individual Study Extraction Data</w:t>
      </w:r>
    </w:p>
    <w:p>
      <w:pPr>
        <w:pStyle w:val="FirstParagraph"/>
      </w:pPr>
      <w:r>
        <w:t xml:space="preserve">Full extracted data for all 8 studies is available in</w:t>
      </w:r>
      <w:r>
        <w:t xml:space="preserve"> </w:t>
      </w:r>
      <w:r>
        <w:rPr>
          <w:rStyle w:val="VerbatimChar"/>
        </w:rPr>
        <w:t xml:space="preserve">data/extracted/extractions.json</w:t>
      </w:r>
      <w:r>
        <w:t xml:space="preserve">. The extraction log with initial, verified, and risk-of-bias JSON for each study is at</w:t>
      </w:r>
      <w:r>
        <w:t xml:space="preserve"> </w:t>
      </w:r>
      <w:r>
        <w:rPr>
          <w:rStyle w:val="VerbatimChar"/>
        </w:rPr>
        <w:t xml:space="preserve">data/extracted/extraction_log.jsonl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7"/>
    <w:bookmarkStart w:id="18" w:name="s5.-screening-decision-log"/>
    <w:p>
      <w:pPr>
        <w:pStyle w:val="Heading2"/>
      </w:pPr>
      <w:r>
        <w:t xml:space="preserve">S5. Screening Decision Log</w:t>
      </w:r>
    </w:p>
    <w:p>
      <w:pPr>
        <w:pStyle w:val="FirstParagraph"/>
      </w:pPr>
      <w:r>
        <w:t xml:space="preserve">The complete screening log (215 articles × 3 runs = 645 decisions) is available at</w:t>
      </w:r>
      <w:r>
        <w:t xml:space="preserve"> </w:t>
      </w:r>
      <w:r>
        <w:rPr>
          <w:rStyle w:val="VerbatimChar"/>
        </w:rPr>
        <w:t xml:space="preserve">data/screened/screening_log.jsonl</w:t>
      </w:r>
      <w:r>
        <w:t xml:space="preserve">. Each entry contains: PMID, title, run ID, decision, confidence score, per-criterion assessments, reasoning, model name, token usage, and cost.</w:t>
      </w:r>
    </w:p>
    <w:p>
      <w:r>
        <w:pict>
          <v:rect style="width:0;height:1.5pt" o:hralign="center" o:hrstd="t" o:hr="t"/>
        </w:pict>
      </w:r>
    </w:p>
    <w:bookmarkEnd w:id="18"/>
    <w:bookmarkStart w:id="19" w:name="s6.-living-update-deployment"/>
    <w:p>
      <w:pPr>
        <w:pStyle w:val="Heading2"/>
      </w:pPr>
      <w:r>
        <w:t xml:space="preserve">S6. Living Update Deployment</w:t>
      </w:r>
    </w:p>
    <w:p>
      <w:pPr>
        <w:pStyle w:val="FirstParagraph"/>
      </w:pPr>
      <w:r>
        <w:t xml:space="preserve">Full deployment instructions for the GitHub Actions scheduled workflow are provided in</w:t>
      </w:r>
      <w:r>
        <w:t xml:space="preserve"> </w:t>
      </w:r>
      <w:r>
        <w:rPr>
          <w:rStyle w:val="VerbatimChar"/>
        </w:rPr>
        <w:t xml:space="preserve">DEPLOYMENT.md</w:t>
      </w:r>
      <w:r>
        <w:t xml:space="preserve"> </w:t>
      </w:r>
      <w:r>
        <w:t xml:space="preserve">at the repository root. The workflow file is at</w:t>
      </w:r>
      <w:r>
        <w:t xml:space="preserve"> </w:t>
      </w:r>
      <w:r>
        <w:rPr>
          <w:rStyle w:val="VerbatimChar"/>
        </w:rPr>
        <w:t xml:space="preserve">.github/workflows/living_update.yml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9"/>
    <w:bookmarkStart w:id="20" w:name="s7.-error-analysis-false-positives"/>
    <w:p>
      <w:pPr>
        <w:pStyle w:val="Heading2"/>
      </w:pPr>
      <w:r>
        <w:t xml:space="preserve">S7. Error Analysis — False Positives</w:t>
      </w:r>
    </w:p>
    <w:p>
      <w:pPr>
        <w:pStyle w:val="FirstParagraph"/>
      </w:pPr>
      <w:r>
        <w:t xml:space="preserve">The 4 false positive studies from screening (classified as INCLUDE but not in the 2018 reference):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PMID</w:t>
            </w:r>
          </w:p>
        </w:tc>
        <w:tc>
          <w:tcPr/>
          <w:p>
            <w:pPr>
              <w:pStyle w:val="Compact"/>
            </w:pPr>
            <w:r>
              <w:t xml:space="preserve">Study</w:t>
            </w:r>
          </w:p>
        </w:tc>
        <w:tc>
          <w:tcPr/>
          <w:p>
            <w:pPr>
              <w:pStyle w:val="Compact"/>
            </w:pPr>
            <w:r>
              <w:t xml:space="preserve">Year</w:t>
            </w:r>
          </w:p>
        </w:tc>
        <w:tc>
          <w:tcPr/>
          <w:p>
            <w:pPr>
              <w:pStyle w:val="Compact"/>
            </w:pPr>
            <w:r>
              <w:t xml:space="preserve">Classification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41104567</w:t>
            </w:r>
          </w:p>
        </w:tc>
        <w:tc>
          <w:tcPr/>
          <w:p>
            <w:pPr>
              <w:pStyle w:val="Compact"/>
            </w:pPr>
            <w:r>
              <w:t xml:space="preserve">Rashid et al.</w:t>
            </w:r>
          </w:p>
        </w:tc>
        <w:tc>
          <w:tcPr/>
          <w:p>
            <w:pPr>
              <w:pStyle w:val="Compact"/>
            </w:pPr>
            <w:r>
              <w:t xml:space="preserve">2025</w:t>
            </w:r>
          </w:p>
        </w:tc>
        <w:tc>
          <w:tcPr/>
          <w:p>
            <w:pPr>
              <w:pStyle w:val="Compact"/>
            </w:pPr>
            <w:r>
              <w:t xml:space="preserve">True new RCT</w:t>
            </w:r>
          </w:p>
        </w:tc>
        <w:tc>
          <w:tcPr/>
          <w:p>
            <w:pPr>
              <w:pStyle w:val="Compact"/>
            </w:pPr>
            <w:r>
              <w:t xml:space="preserve">Open-label RCT of atorvastatin in sepsis, n=68. Published after reference.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31206313</w:t>
            </w:r>
          </w:p>
        </w:tc>
        <w:tc>
          <w:tcPr/>
          <w:p>
            <w:pPr>
              <w:pStyle w:val="Compact"/>
            </w:pPr>
            <w:r>
              <w:t xml:space="preserve">Sapey et al.</w:t>
            </w:r>
          </w:p>
        </w:tc>
        <w:tc>
          <w:tcPr/>
          <w:p>
            <w:pPr>
              <w:pStyle w:val="Compact"/>
            </w:pPr>
            <w:r>
              <w:t xml:space="preserve">2019</w:t>
            </w:r>
          </w:p>
        </w:tc>
        <w:tc>
          <w:tcPr/>
          <w:p>
            <w:pPr>
              <w:pStyle w:val="Compact"/>
            </w:pPr>
            <w:r>
              <w:t xml:space="preserve">Pilot RCT</w:t>
            </w:r>
          </w:p>
        </w:tc>
        <w:tc>
          <w:tcPr/>
          <w:p>
            <w:pPr>
              <w:pStyle w:val="Compact"/>
            </w:pPr>
            <w:r>
              <w:t xml:space="preserve">Simvastatin in CAP+sepsis, double-blind. Published after reference.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28511660</w:t>
            </w:r>
          </w:p>
        </w:tc>
        <w:tc>
          <w:tcPr/>
          <w:p>
            <w:pPr>
              <w:pStyle w:val="Compact"/>
            </w:pPr>
            <w:r>
              <w:t xml:space="preserve">Agus et al.</w:t>
            </w:r>
          </w:p>
        </w:tc>
        <w:tc>
          <w:tcPr/>
          <w:p>
            <w:pPr>
              <w:pStyle w:val="Compact"/>
            </w:pPr>
            <w:r>
              <w:t xml:space="preserve">2017</w:t>
            </w:r>
          </w:p>
        </w:tc>
        <w:tc>
          <w:tcPr/>
          <w:p>
            <w:pPr>
              <w:pStyle w:val="Compact"/>
            </w:pPr>
            <w:r>
              <w:t xml:space="preserve">Follow-up report</w:t>
            </w:r>
          </w:p>
        </w:tc>
        <w:tc>
          <w:tcPr/>
          <w:p>
            <w:pPr>
              <w:pStyle w:val="Compact"/>
            </w:pPr>
            <w:r>
              <w:t xml:space="preserve">HARP-2 trial 12-month outcomes and cost-effectiveness.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25855898</w:t>
            </w:r>
          </w:p>
        </w:tc>
        <w:tc>
          <w:tcPr/>
          <w:p>
            <w:pPr>
              <w:pStyle w:val="Compact"/>
            </w:pPr>
            <w:r>
              <w:t xml:space="preserve">Ghosh et al.</w:t>
            </w:r>
          </w:p>
        </w:tc>
        <w:tc>
          <w:tcPr/>
          <w:p>
            <w:pPr>
              <w:pStyle w:val="Compact"/>
            </w:pPr>
            <w:r>
              <w:t xml:space="preserve">2015</w:t>
            </w:r>
          </w:p>
        </w:tc>
        <w:tc>
          <w:tcPr/>
          <w:p>
            <w:pPr>
              <w:pStyle w:val="Compact"/>
            </w:pPr>
            <w:r>
              <w:t xml:space="preserve">Mixed/mechanistic</w:t>
            </w:r>
          </w:p>
        </w:tc>
        <w:tc>
          <w:tcPr/>
          <w:p>
            <w:pPr>
              <w:pStyle w:val="Compact"/>
            </w:pPr>
            <w:r>
              <w:t xml:space="preserve">Drug repurposing study with small embedded RCT component.</w:t>
            </w:r>
          </w:p>
        </w:tc>
      </w:tr>
    </w:tbl>
    <w:p>
      <w:pPr>
        <w:pStyle w:val="BodyText"/>
      </w:pPr>
      <w:r>
        <w:t xml:space="preserve">Of these, 2 are legitimate new evidence, 1 is supplementary data for an existing trial, and 1 is a borderline mechanistic study. The pipeline’s</w:t>
      </w:r>
      <w:r>
        <w:t xml:space="preserve"> </w:t>
      </w:r>
      <w:r>
        <w:t xml:space="preserve">“false positives”</w:t>
      </w:r>
      <w:r>
        <w:t xml:space="preserve"> </w:t>
      </w:r>
      <w:r>
        <w:t xml:space="preserve">are arguably appropriate inclusions for a living review that aims to capture emerging evidence.</w:t>
      </w:r>
    </w:p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2026-04-03T01:44:51Z</dcterms:created>
  <dcterms:modified xsi:type="dcterms:W3CDTF">2026-04-03T01:44:51Z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