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75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2"/>
        <w:rPr>
          <w:rFonts w:hint="default"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Variable Definitions</w:t>
      </w:r>
    </w:p>
    <w:p w14:paraId="366498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2"/>
        <w:rPr>
          <w:rFonts w:hint="default" w:ascii="Times New Roman" w:hAnsi="Times New Roman" w:eastAsia="宋体" w:cs="Times New Roman"/>
          <w:b w:val="0"/>
          <w:bCs/>
          <w:kern w:val="0"/>
          <w:sz w:val="21"/>
          <w:szCs w:val="21"/>
          <w:lang w:val="en-US" w:eastAsia="zh-CN" w:bidi="ar"/>
        </w:rPr>
      </w:pPr>
      <w:r>
        <w:rPr>
          <w:rFonts w:hint="eastAsia" w:ascii="Times New Roman" w:hAnsi="Times New Roman" w:eastAsia="宋体" w:cs="Times New Roman"/>
          <w:b w:val="0"/>
          <w:bCs/>
          <w:kern w:val="2"/>
          <w:sz w:val="21"/>
          <w:szCs w:val="21"/>
          <w:lang w:val="en-US" w:eastAsia="zh-CN" w:bidi="ar-SA"/>
        </w:rPr>
        <w:t xml:space="preserve">(1) </w:t>
      </w:r>
      <w:r>
        <w:rPr>
          <w:rFonts w:hint="default" w:ascii="Times New Roman" w:hAnsi="Times New Roman" w:eastAsia="宋体" w:cs="Times New Roman"/>
          <w:b w:val="0"/>
          <w:bCs/>
          <w:kern w:val="2"/>
          <w:sz w:val="21"/>
          <w:szCs w:val="21"/>
          <w:lang w:val="en-US" w:eastAsia="zh-CN" w:bidi="ar-SA"/>
        </w:rPr>
        <w:t>Dependent Variable: Tone Manipulation in M&amp;A Reports</w:t>
      </w:r>
    </w:p>
    <w:p w14:paraId="7D344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b w:val="0"/>
          <w:bCs/>
          <w:kern w:val="0"/>
          <w:sz w:val="21"/>
          <w:szCs w:val="21"/>
          <w:lang w:val="en-US" w:eastAsia="zh-CN" w:bidi="ar"/>
        </w:rPr>
      </w:pPr>
      <w:r>
        <w:rPr>
          <w:rFonts w:hint="default" w:ascii="Times New Roman" w:hAnsi="Times New Roman" w:eastAsia="宋体" w:cs="Times New Roman"/>
          <w:b w:val="0"/>
          <w:bCs/>
          <w:kern w:val="0"/>
          <w:sz w:val="21"/>
          <w:szCs w:val="21"/>
          <w:lang w:val="en-US" w:eastAsia="zh-CN" w:bidi="ar"/>
        </w:rPr>
        <w:t>Tone manipulation in M&amp;A reports (ABTone) refers to the strategic behavior of management in utilizing abnormally positive or negative tones to influence investor judgment. The methodology for measuring tone manipulation in annual reports is outlined as follows: First, the Taiwan University Sentiment Dictionary and the LM Chinese Dictionary are expanded by incorporating termin</w:t>
      </w:r>
      <w:bookmarkStart w:id="0" w:name="_GoBack"/>
      <w:bookmarkEnd w:id="0"/>
      <w:r>
        <w:rPr>
          <w:rFonts w:hint="default" w:ascii="Times New Roman" w:hAnsi="Times New Roman" w:eastAsia="宋体" w:cs="Times New Roman"/>
          <w:b w:val="0"/>
          <w:bCs/>
          <w:kern w:val="0"/>
          <w:sz w:val="21"/>
          <w:szCs w:val="21"/>
          <w:lang w:val="en-US" w:eastAsia="zh-CN" w:bidi="ar"/>
        </w:rPr>
        <w:t>ology specific to financial accounting and M&amp;A activities. This involves using synonyms to broaden the vocabulary, followed by a manual selection process to produce a comprehensive financial and accounting sentiment dictionary. Subsequently, M&amp;A report PDFs for listed companies are manually collected from the Giant Information Network, converted to TXT format using Python programming, and processed with the ANSJ Chinese word segmentation tool, during which spaces, carriage returns, pronouns, conjunctions, stopwords, etc., are removed. Finally, based on the cleaned data and the constructed comprehensive sentiment dictionary, sentiment weights are assigned using the 'bag-of-words' approach and a simple proportional weighting method. The total occurrences of positive, negative, and neutral words are counted. Following the methodology established by Xie &amp; Lin (2015), the net positive tone of the M&amp;A report is defined as follows:</w:t>
      </w:r>
    </w:p>
    <w:p w14:paraId="31226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Calibri" w:hAnsi="Times New Roman" w:eastAsia="宋体" w:cs="Times New Roman"/>
          <w:b w:val="0"/>
          <w:bCs/>
          <w:i/>
          <w:kern w:val="0"/>
          <w:sz w:val="21"/>
          <w:szCs w:val="21"/>
          <w:lang w:val="en-US" w:eastAsia="zh-CN" w:bidi="ar"/>
        </w:rPr>
      </w:pPr>
      <m:oMathPara>
        <m:oMathParaPr>
          <m:jc m:val="center"/>
        </m:oMathParaPr>
        <m:oMath>
          <m:r>
            <m:rPr>
              <m:nor/>
            </m:rPr>
            <w:rPr>
              <w:rFonts w:hint="default" w:ascii="Times New Roman" w:hAnsi="Times New Roman" w:cs="Times New Roman"/>
              <w:b w:val="0"/>
              <w:bCs/>
              <w:i/>
              <w:sz w:val="21"/>
              <w:szCs w:val="21"/>
            </w:rPr>
            <m:t>Tone</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rPr>
            <w:rPr>
              <w:rFonts w:hint="default" w:ascii="Times New Roman" w:hAnsi="Times New Roman" w:cs="Times New Roman"/>
              <w:b w:val="0"/>
              <w:bCs/>
              <w:i/>
              <w:sz w:val="21"/>
              <w:szCs w:val="21"/>
            </w:rPr>
            <m:t>Number</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of</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Positive</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Words</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Number</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of</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Negative</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Words</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rPr>
            <w:rPr>
              <w:rFonts w:hint="default" w:ascii="Times New Roman" w:hAnsi="Times New Roman" w:cs="Times New Roman"/>
              <w:b w:val="0"/>
              <w:bCs/>
              <w:i/>
              <w:sz w:val="21"/>
              <w:szCs w:val="21"/>
            </w:rPr>
            <m:t>Number</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of</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Positive</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Words</m:t>
          </m:r>
        </m:oMath>
      </m:oMathPara>
    </w:p>
    <w:p w14:paraId="496D9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i w:val="0"/>
          <w:kern w:val="0"/>
          <w:sz w:val="21"/>
          <w:szCs w:val="21"/>
          <w:lang w:val="en-US" w:eastAsia="zh-CN" w:bidi="ar"/>
        </w:rPr>
      </w:pPr>
      <m:oMathPara>
        <m:oMathParaPr>
          <m:jc m:val="center"/>
        </m:oMathParaPr>
        <m:oMath>
          <m:r>
            <m:rPr>
              <m:nor/>
              <m:sty m:val="p"/>
            </m:rPr>
            <w:rPr>
              <w:rFonts w:hint="default" w:ascii="Times New Roman" w:hAnsi="Times New Roman" w:cs="Times New Roman"/>
              <w:b w:val="0"/>
              <w:bCs/>
              <w:i w:val="0"/>
              <w:sz w:val="21"/>
              <w:szCs w:val="21"/>
            </w:rPr>
            <m:t xml:space="preserve"> + </m:t>
          </m:r>
          <m:r>
            <m:rPr>
              <m:nor/>
            </m:rPr>
            <w:rPr>
              <w:rFonts w:hint="default" w:ascii="Times New Roman" w:hAnsi="Times New Roman" w:cs="Times New Roman"/>
              <w:b w:val="0"/>
              <w:bCs/>
              <w:i/>
              <w:sz w:val="21"/>
              <w:szCs w:val="21"/>
            </w:rPr>
            <m:t>Number</m:t>
          </m:r>
          <m:r>
            <m:rPr>
              <m:nor/>
              <m:sty m:val="p"/>
            </m:rPr>
            <w:rPr>
              <w:rFonts w:hint="default" w:ascii="Times New Roman" w:hAnsi="Times New Roman" w:cs="Times New Roman"/>
              <w:b w:val="0"/>
              <w:bCs/>
              <w:i w:val="0"/>
              <w:sz w:val="21"/>
              <w:szCs w:val="21"/>
            </w:rPr>
            <m:t xml:space="preserve"> </m:t>
          </m:r>
          <m:r>
            <m:rPr>
              <m:nor/>
            </m:rPr>
            <w:rPr>
              <w:rFonts w:hint="default" w:ascii="Times New Roman" w:hAnsi="Times New Roman" w:cs="Times New Roman"/>
              <w:b w:val="0"/>
              <w:bCs/>
              <w:i/>
              <w:sz w:val="21"/>
              <w:szCs w:val="21"/>
            </w:rPr>
            <m:t>of</m:t>
          </m:r>
          <m:r>
            <m:rPr>
              <m:nor/>
              <m:sty m:val="p"/>
            </m:rPr>
            <w:rPr>
              <w:rFonts w:hint="default" w:ascii="Times New Roman" w:hAnsi="Times New Roman" w:cs="Times New Roman"/>
              <w:b w:val="0"/>
              <w:bCs/>
              <w:i w:val="0"/>
              <w:sz w:val="21"/>
              <w:szCs w:val="21"/>
            </w:rPr>
            <m:t xml:space="preserve"> </m:t>
          </m:r>
          <m:r>
            <m:rPr>
              <m:nor/>
            </m:rPr>
            <w:rPr>
              <w:rFonts w:hint="default" w:ascii="Times New Roman" w:hAnsi="Times New Roman" w:cs="Times New Roman"/>
              <w:b w:val="0"/>
              <w:bCs/>
              <w:i/>
              <w:sz w:val="21"/>
              <w:szCs w:val="21"/>
            </w:rPr>
            <m:t>Negative</m:t>
          </m:r>
          <m:r>
            <m:rPr>
              <m:nor/>
              <m:sty m:val="p"/>
            </m:rPr>
            <w:rPr>
              <w:rFonts w:hint="default" w:ascii="Times New Roman" w:hAnsi="Times New Roman" w:cs="Times New Roman"/>
              <w:b w:val="0"/>
              <w:bCs/>
              <w:i w:val="0"/>
              <w:sz w:val="21"/>
              <w:szCs w:val="21"/>
            </w:rPr>
            <m:t xml:space="preserve"> </m:t>
          </m:r>
          <m:r>
            <m:rPr>
              <m:nor/>
            </m:rPr>
            <w:rPr>
              <w:rFonts w:hint="default" w:ascii="Times New Roman" w:hAnsi="Times New Roman" w:cs="Times New Roman"/>
              <w:b w:val="0"/>
              <w:bCs/>
              <w:i/>
              <w:sz w:val="21"/>
              <w:szCs w:val="21"/>
            </w:rPr>
            <m:t>Words</m:t>
          </m:r>
          <m:r>
            <m:rPr>
              <m:nor/>
              <m:sty m:val="p"/>
            </m:rPr>
            <w:rPr>
              <w:rFonts w:hint="default" w:ascii="Times New Roman" w:hAnsi="Times New Roman" w:cs="Times New Roman"/>
              <w:b w:val="0"/>
              <w:bCs/>
              <w:i w:val="0"/>
              <w:sz w:val="21"/>
              <w:szCs w:val="21"/>
            </w:rPr>
            <m:t>)                                                          (</m:t>
          </m:r>
          <m:r>
            <m:rPr>
              <m:nor/>
              <m:sty m:val="p"/>
            </m:rPr>
            <w:rPr>
              <w:rFonts w:hint="default" w:ascii="Times New Roman" w:hAnsi="Times New Roman" w:cs="Times New Roman"/>
              <w:b w:val="0"/>
              <w:bCs/>
              <w:i w:val="0"/>
              <w:sz w:val="21"/>
              <w:szCs w:val="21"/>
              <w:lang w:val="en-US" w:eastAsia="zh-CN"/>
            </w:rPr>
            <m:t>2</m:t>
          </m:r>
          <m:r>
            <m:rPr>
              <m:nor/>
              <m:sty m:val="p"/>
            </m:rPr>
            <w:rPr>
              <w:rFonts w:hint="default" w:ascii="Times New Roman" w:hAnsi="Times New Roman" w:cs="Times New Roman"/>
              <w:b w:val="0"/>
              <w:bCs/>
              <w:i w:val="0"/>
              <w:sz w:val="21"/>
              <w:szCs w:val="21"/>
            </w:rPr>
            <m:t>)</m:t>
          </m:r>
        </m:oMath>
      </m:oMathPara>
    </w:p>
    <w:p w14:paraId="0AEDC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b w:val="0"/>
          <w:bCs/>
          <w:kern w:val="0"/>
          <w:sz w:val="21"/>
          <w:szCs w:val="21"/>
          <w:lang w:val="en-US" w:eastAsia="zh-CN" w:bidi="ar"/>
        </w:rPr>
      </w:pPr>
      <w:r>
        <w:rPr>
          <w:rFonts w:hint="default" w:ascii="Times New Roman" w:hAnsi="Times New Roman" w:eastAsia="宋体" w:cs="Times New Roman"/>
          <w:b w:val="0"/>
          <w:bCs/>
          <w:kern w:val="0"/>
          <w:sz w:val="21"/>
          <w:szCs w:val="21"/>
          <w:lang w:val="en-US" w:eastAsia="zh-CN" w:bidi="ar"/>
        </w:rPr>
        <w:t>Following the methodologies established by Huang et al. (2014), tone is further decomposed into two categories: NTone (neutral tone) and ABTone (abnormal tone). Here, NTone denotes the neutral tone grounded in fundamental principles, while ABTone signifies an abnormal tone that reflects strategic choices made by management in tone manipulation. The decomposition model is presented as follows:</w:t>
      </w:r>
    </w:p>
    <w:p w14:paraId="42B22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Calibri" w:hAnsi="Cambria Math" w:eastAsia="宋体" w:cs="Times New Roman"/>
          <w:b w:val="0"/>
          <w:bCs/>
          <w:i/>
          <w:kern w:val="0"/>
          <w:sz w:val="21"/>
          <w:szCs w:val="21"/>
          <w:lang w:val="en-US" w:eastAsia="zh-CN" w:bidi="ar"/>
        </w:rPr>
      </w:pPr>
      <m:oMathPara>
        <m:oMathParaPr>
          <m:jc m:val="center"/>
        </m:oMathParaPr>
        <m:oMath>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Tone</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r>
            <m:rPr>
              <m:nor/>
            </m:rPr>
            <w:rPr>
              <w:rFonts w:hint="default" w:ascii="Times New Roman" w:hAnsi="Times New Roman" w:cs="Times New Roman"/>
              <w:b w:val="0"/>
              <w:bCs/>
              <w:i/>
              <w:sz w:val="21"/>
              <w:szCs w:val="21"/>
            </w:rPr>
            <m:t>α</m:t>
          </m:r>
          <m:r>
            <m:rPr>
              <m:nor/>
              <m:sty m:val="p"/>
            </m:rPr>
            <w:rPr>
              <w:rFonts w:hint="default" w:ascii="Times New Roman" w:hAnsi="Times New Roman"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0</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Roa</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1</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Ret</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2</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Size</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ctrlPr>
                <w:rPr>
                  <w:rFonts w:hint="default" w:ascii="Cambria Math" w:hAnsi="Cambria Math" w:cs="Times New Roman"/>
                  <w:b w:val="0"/>
                  <w:bCs/>
                  <w:i/>
                  <w:sz w:val="21"/>
                  <w:szCs w:val="21"/>
                </w:rPr>
              </m:ctrlPr>
            </m:sub>
          </m:sSub>
          <m:r>
            <m:rPr>
              <m:nor/>
              <m:sty m:val="p"/>
            </m:rPr>
            <w:rPr>
              <w:rFonts w:hint="default" w:ascii="Cambria Math" w:hAnsi="Cambria Math"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3</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MV</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ctrlPr>
                <w:rPr>
                  <w:rFonts w:hint="default" w:ascii="Cambria Math" w:hAnsi="Cambria Math" w:cs="Times New Roman"/>
                  <w:b w:val="0"/>
                  <w:bCs/>
                  <w:i/>
                  <w:sz w:val="21"/>
                  <w:szCs w:val="21"/>
                </w:rPr>
              </m:ctrlPr>
            </m:sub>
          </m:sSub>
          <m:r>
            <m:rPr>
              <m:nor/>
              <m:sty m:val="p"/>
            </m:rPr>
            <w:rPr>
              <w:rFonts w:hint="default" w:ascii="Cambria Math" w:hAnsi="Cambria Math"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Cambria Math" w:hAnsi="Cambria Math" w:cs="Times New Roman"/>
                  <w:b w:val="0"/>
                  <w:bCs/>
                  <w:i/>
                  <w:sz w:val="21"/>
                  <w:szCs w:val="21"/>
                  <w:lang w:val="en-US" w:eastAsia="zh-CN"/>
                </w:rPr>
                <m:t xml:space="preserve"> </m:t>
              </m:r>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4</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Std</m:t>
              </m:r>
              <m:r>
                <m:rPr>
                  <m:nor/>
                  <m:sty m:val="p"/>
                </m:rPr>
                <w:rPr>
                  <w:rFonts w:hint="default" w:ascii="Times New Roman" w:hAnsi="Times New Roman" w:cs="Times New Roman"/>
                  <w:b w:val="0"/>
                  <w:bCs/>
                  <w:i w:val="0"/>
                  <w:sz w:val="21"/>
                  <w:szCs w:val="21"/>
                </w:rPr>
                <m:t>_</m:t>
              </m:r>
              <m:r>
                <m:rPr>
                  <m:nor/>
                </m:rPr>
                <w:rPr>
                  <w:rFonts w:hint="default" w:ascii="Times New Roman" w:hAnsi="Times New Roman" w:cs="Times New Roman"/>
                  <w:b w:val="0"/>
                  <w:bCs/>
                  <w:i/>
                  <w:sz w:val="21"/>
                  <w:szCs w:val="21"/>
                </w:rPr>
                <m:t>Ret</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Cambria Math" w:hAnsi="Cambria Math" w:cs="Times New Roman"/>
                  <w:b w:val="0"/>
                  <w:bCs/>
                  <w:i/>
                  <w:sz w:val="21"/>
                  <w:szCs w:val="21"/>
                  <w:lang w:val="en-US" w:eastAsia="zh-CN"/>
                </w:rPr>
                <m:t xml:space="preserve"> </m:t>
              </m:r>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5</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Std</m:t>
              </m:r>
              <m:r>
                <m:rPr>
                  <m:nor/>
                  <m:sty m:val="p"/>
                </m:rPr>
                <w:rPr>
                  <w:rFonts w:hint="default" w:ascii="Times New Roman" w:hAnsi="Times New Roman" w:cs="Times New Roman"/>
                  <w:b w:val="0"/>
                  <w:bCs/>
                  <w:i w:val="0"/>
                  <w:sz w:val="21"/>
                  <w:szCs w:val="21"/>
                </w:rPr>
                <m:t>_</m:t>
              </m:r>
              <m:r>
                <m:rPr>
                  <m:nor/>
                </m:rPr>
                <w:rPr>
                  <w:rFonts w:hint="default" w:ascii="Times New Roman" w:hAnsi="Times New Roman" w:cs="Times New Roman"/>
                  <w:b w:val="0"/>
                  <w:bCs/>
                  <w:i/>
                  <w:sz w:val="21"/>
                  <w:szCs w:val="21"/>
                </w:rPr>
                <m:t>Roa</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6</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Age</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ctrlPr>
                <w:rPr>
                  <w:rFonts w:hint="default" w:ascii="Cambria Math" w:hAnsi="Cambria Math" w:cs="Times New Roman"/>
                  <w:b w:val="0"/>
                  <w:bCs/>
                  <w:i/>
                  <w:sz w:val="21"/>
                  <w:szCs w:val="21"/>
                </w:rPr>
              </m:ctrlPr>
            </m:sub>
          </m:sSub>
          <m:r>
            <m:rPr>
              <m:nor/>
              <m:sty m:val="p"/>
            </m:rPr>
            <w:rPr>
              <w:rFonts w:hint="default" w:ascii="Cambria Math" w:hAnsi="Cambria Math" w:cs="Times New Roman"/>
              <w:b w:val="0"/>
              <w:bCs/>
              <w:i w:val="0"/>
              <w:sz w:val="21"/>
              <w:szCs w:val="21"/>
              <w:lang w:val="en-US" w:eastAsia="zh-CN"/>
            </w:rPr>
            <m:t xml:space="preserve"> </m:t>
          </m:r>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Cambria Math" w:hAnsi="Cambria Math" w:cs="Times New Roman"/>
                  <w:b w:val="0"/>
                  <w:bCs/>
                  <w:i/>
                  <w:sz w:val="21"/>
                  <w:szCs w:val="21"/>
                  <w:lang w:val="en-US" w:eastAsia="zh-CN"/>
                </w:rPr>
                <m:t xml:space="preserve"> </m:t>
              </m:r>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7</m:t>
              </m:r>
              <m:ctrlPr>
                <w:rPr>
                  <w:rFonts w:hint="default" w:ascii="Cambria Math" w:hAnsi="Cambria Math" w:cs="Times New Roman"/>
                  <w:b w:val="0"/>
                  <w:bCs/>
                  <w:i/>
                  <w:sz w:val="21"/>
                  <w:szCs w:val="21"/>
                </w:rPr>
              </m:ctrlPr>
            </m:sub>
          </m:sSub>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Loss</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ctrlPr>
                <w:rPr>
                  <w:rFonts w:hint="default" w:ascii="Cambria Math" w:hAnsi="Cambria Math" w:cs="Times New Roman"/>
                  <w:b w:val="0"/>
                  <w:bCs/>
                  <w:i/>
                  <w:sz w:val="21"/>
                  <w:szCs w:val="21"/>
                </w:rPr>
              </m:ctrlPr>
            </m:sub>
          </m:sSub>
          <m:r>
            <m:rPr/>
            <w:rPr>
              <w:rFonts w:hint="default" w:ascii="Cambria Math" w:hAnsi="Cambria Math" w:cs="Times New Roman"/>
              <w:sz w:val="21"/>
              <w:szCs w:val="21"/>
              <w:lang w:val="en-US" w:eastAsia="zh-CN"/>
            </w:rPr>
            <m:t xml:space="preserve"> </m:t>
          </m:r>
        </m:oMath>
      </m:oMathPara>
    </w:p>
    <w:p w14:paraId="17B10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i w:val="0"/>
          <w:kern w:val="0"/>
          <w:sz w:val="21"/>
          <w:szCs w:val="21"/>
          <w:lang w:val="en-US" w:eastAsia="zh-CN" w:bidi="ar"/>
        </w:rPr>
      </w:pPr>
      <m:oMathPara>
        <m:oMathParaPr>
          <m:jc m:val="center"/>
        </m:oMathParaPr>
        <m:oMath>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Cambria Math" w:hAnsi="Cambria Math" w:cs="Times New Roman"/>
                  <w:b w:val="0"/>
                  <w:bCs/>
                  <w:i/>
                  <w:sz w:val="21"/>
                  <w:szCs w:val="21"/>
                  <w:lang w:val="en-US" w:eastAsia="zh-CN"/>
                </w:rPr>
                <m:t xml:space="preserve"> </m:t>
              </m:r>
              <m:r>
                <m:rPr>
                  <m:nor/>
                </m:rPr>
                <w:rPr>
                  <w:rFonts w:hint="default" w:ascii="Times New Roman" w:hAnsi="Times New Roman" w:cs="Times New Roman"/>
                  <w:b w:val="0"/>
                  <w:bCs/>
                  <w:i/>
                  <w:sz w:val="21"/>
                  <w:szCs w:val="21"/>
                </w:rPr>
                <m:t>β</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8</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Roa</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δ</m:t>
              </m:r>
              <m:ctrlPr>
                <w:rPr>
                  <w:rFonts w:hint="default" w:ascii="Cambria Math" w:hAnsi="Cambria Math" w:cs="Times New Roman"/>
                  <w:b w:val="0"/>
                  <w:bCs/>
                  <w:i/>
                  <w:sz w:val="21"/>
                  <w:szCs w:val="21"/>
                </w:rPr>
              </m:ctrlPr>
            </m:e>
            <m:sub>
              <m:r>
                <m:rPr>
                  <m:nor/>
                  <m:sty m:val="p"/>
                </m:rPr>
                <w:rPr>
                  <w:rFonts w:hint="default" w:ascii="Times New Roman" w:hAnsi="Times New Roman" w:cs="Times New Roman"/>
                  <w:b w:val="0"/>
                  <w:bCs/>
                  <w:i w:val="0"/>
                  <w:sz w:val="21"/>
                  <w:szCs w:val="21"/>
                </w:rPr>
                <m:t>h</m:t>
              </m:r>
              <m:r>
                <m:rPr>
                  <m:nor/>
                </m:rPr>
                <w:rPr>
                  <w:rFonts w:hint="default" w:ascii="Times New Roman" w:hAnsi="Times New Roman" w:cs="Times New Roman"/>
                  <w:b w:val="0"/>
                  <w:bCs/>
                  <w:i/>
                  <w:sz w:val="21"/>
                  <w:szCs w:val="21"/>
                </w:rPr>
                <m:t>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r>
            <m:rPr>
              <m:nor/>
              <m:sty m:val="p"/>
            </m:rPr>
            <w:rPr>
              <w:rFonts w:hint="default" w:ascii="Times New Roman" w:hAnsi="Times New Roman" w:cs="Times New Roman"/>
              <w:b w:val="0"/>
              <w:bCs/>
              <w:i w:val="0"/>
              <w:sz w:val="21"/>
              <w:szCs w:val="21"/>
              <w:lang w:val="en-US" w:eastAsia="zh-CN"/>
            </w:rPr>
            <m:t xml:space="preserve"> </m:t>
          </m:r>
          <m:sSub>
            <m:sSubPr>
              <m:ctrlPr>
                <w:rPr>
                  <w:rFonts w:hint="default" w:ascii="Cambria Math" w:hAnsi="Cambria Math" w:cs="Times New Roman"/>
                  <w:b w:val="0"/>
                  <w:bCs/>
                  <w:i/>
                  <w:sz w:val="21"/>
                  <w:szCs w:val="21"/>
                </w:rPr>
              </m:ctrlPr>
            </m:sSubPr>
            <m:e>
              <m:r>
                <m:rPr>
                  <m:nor/>
                </m:rPr>
                <w:rPr>
                  <w:rFonts w:hint="default" w:ascii="Times New Roman" w:hAnsi="Times New Roman" w:cs="Times New Roman"/>
                  <w:b w:val="0"/>
                  <w:bCs/>
                  <w:i/>
                  <w:sz w:val="21"/>
                  <w:szCs w:val="21"/>
                </w:rPr>
                <m:t>γ</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pt</m:t>
              </m:r>
              <m:r>
                <m:rPr>
                  <m:nor/>
                  <m:sty m:val="p"/>
                </m:rPr>
                <w:rPr>
                  <w:rFonts w:hint="default" w:ascii="Times New Roman" w:hAnsi="Times New Roman" w:cs="Times New Roman"/>
                  <w:b w:val="0"/>
                  <w:bCs/>
                  <w:i w:val="0"/>
                  <w:sz w:val="21"/>
                  <w:szCs w:val="21"/>
                  <w:lang w:val="en-US" w:eastAsia="zh-CN"/>
                </w:rPr>
                <m:t xml:space="preserve"> </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m:t>
          </m:r>
          <m:sSub>
            <m:sSubPr>
              <m:ctrlPr>
                <w:rPr>
                  <w:rFonts w:hint="default" w:ascii="Cambria Math" w:hAnsi="Cambria Math" w:cs="Times New Roman"/>
                  <w:b w:val="0"/>
                  <w:bCs/>
                  <w:i/>
                  <w:sz w:val="21"/>
                  <w:szCs w:val="21"/>
                </w:rPr>
              </m:ctrlPr>
            </m:sSubPr>
            <m:e>
              <m:r>
                <m:rPr>
                  <m:nor/>
                </m:rPr>
                <w:rPr>
                  <w:rFonts w:hint="default" w:ascii="Cambria Math" w:hAnsi="Cambria Math" w:cs="Times New Roman"/>
                  <w:b w:val="0"/>
                  <w:bCs/>
                  <w:i/>
                  <w:sz w:val="21"/>
                  <w:szCs w:val="21"/>
                  <w:lang w:val="en-US" w:eastAsia="zh-CN"/>
                </w:rPr>
                <m:t xml:space="preserve"> </m:t>
              </m:r>
              <m:r>
                <m:rPr>
                  <m:nor/>
                </m:rPr>
                <w:rPr>
                  <w:rFonts w:hint="default" w:ascii="Times New Roman" w:hAnsi="Times New Roman" w:cs="Times New Roman"/>
                  <w:b w:val="0"/>
                  <w:bCs/>
                  <w:i/>
                  <w:sz w:val="21"/>
                  <w:szCs w:val="21"/>
                </w:rPr>
                <m:t>ε</m:t>
              </m:r>
              <m:ctrlPr>
                <w:rPr>
                  <w:rFonts w:hint="default" w:ascii="Cambria Math" w:hAnsi="Cambria Math" w:cs="Times New Roman"/>
                  <w:b w:val="0"/>
                  <w:bCs/>
                  <w:i/>
                  <w:sz w:val="21"/>
                  <w:szCs w:val="21"/>
                </w:rPr>
              </m:ctrlPr>
            </m:e>
            <m:sub>
              <m:r>
                <m:rPr>
                  <m:nor/>
                </m:rPr>
                <w:rPr>
                  <w:rFonts w:hint="default" w:ascii="Times New Roman" w:hAnsi="Times New Roman" w:cs="Times New Roman"/>
                  <w:b w:val="0"/>
                  <w:bCs/>
                  <w:i/>
                  <w:sz w:val="21"/>
                  <w:szCs w:val="21"/>
                </w:rPr>
                <m:t>it</m:t>
              </m:r>
              <m:ctrlPr>
                <w:rPr>
                  <w:rFonts w:hint="default" w:ascii="Cambria Math" w:hAnsi="Cambria Math" w:cs="Times New Roman"/>
                  <w:b w:val="0"/>
                  <w:bCs/>
                  <w:i/>
                  <w:sz w:val="21"/>
                  <w:szCs w:val="21"/>
                </w:rPr>
              </m:ctrlPr>
            </m:sub>
          </m:sSub>
          <m:r>
            <m:rPr>
              <m:nor/>
              <m:sty m:val="p"/>
            </m:rPr>
            <w:rPr>
              <w:rFonts w:hint="default" w:ascii="Times New Roman" w:hAnsi="Times New Roman" w:cs="Times New Roman"/>
              <w:b w:val="0"/>
              <w:bCs/>
              <w:i w:val="0"/>
              <w:sz w:val="21"/>
              <w:szCs w:val="21"/>
            </w:rPr>
            <m:t xml:space="preserve">                                                               (</m:t>
          </m:r>
          <m:r>
            <m:rPr>
              <m:nor/>
              <m:sty m:val="p"/>
            </m:rPr>
            <w:rPr>
              <w:rFonts w:hint="default" w:ascii="Times New Roman" w:hAnsi="Times New Roman" w:cs="Times New Roman"/>
              <w:b w:val="0"/>
              <w:bCs/>
              <w:i w:val="0"/>
              <w:sz w:val="21"/>
              <w:szCs w:val="21"/>
              <w:lang w:val="en-US" w:eastAsia="zh-CN"/>
            </w:rPr>
            <m:t>3</m:t>
          </m:r>
          <m:r>
            <m:rPr>
              <m:nor/>
              <m:sty m:val="p"/>
            </m:rPr>
            <w:rPr>
              <w:rFonts w:hint="default" w:ascii="Times New Roman" w:hAnsi="Times New Roman" w:cs="Times New Roman"/>
              <w:b w:val="0"/>
              <w:bCs/>
              <w:i w:val="0"/>
              <w:sz w:val="21"/>
              <w:szCs w:val="21"/>
            </w:rPr>
            <m:t>)</m:t>
          </m:r>
        </m:oMath>
      </m:oMathPara>
    </w:p>
    <w:p w14:paraId="49CE94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b w:val="0"/>
          <w:bCs/>
          <w:kern w:val="0"/>
          <w:sz w:val="21"/>
          <w:szCs w:val="21"/>
          <w:lang w:val="en-US" w:eastAsia="zh-CN" w:bidi="ar"/>
        </w:rPr>
      </w:pPr>
      <w:r>
        <w:rPr>
          <w:rFonts w:hint="default" w:ascii="Times New Roman" w:hAnsi="Times New Roman" w:eastAsia="宋体" w:cs="Times New Roman"/>
          <w:b w:val="0"/>
          <w:bCs/>
          <w:kern w:val="0"/>
          <w:sz w:val="21"/>
          <w:szCs w:val="21"/>
          <w:lang w:val="en-US" w:eastAsia="zh-CN" w:bidi="ar"/>
        </w:rPr>
        <w:t>Where Tone is the net optimistic tone of management; Roa is firm performance; Ret is the 12-month holding period return; Size is the natural logarithm of total assets; MV is the book-to-market ratio; Std_Ret is the standard deviation of monthly stock returns; Std_Roa is the standard deviation of firm performance over the past five years; Age is the natural logarithm of the firm's listing age; Loss is a dummy variable, which is 1 if the company incurred a loss in the year, otherwise 0; ΔRoa is the change in net profit between periods t and t−1, divided by total assets in period t−1. The residuals of the regression model represent the measure of tone manipulation in M&amp;A reports.</w:t>
      </w:r>
    </w:p>
    <w:p w14:paraId="486074CD">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2"/>
        <w:rPr>
          <w:rFonts w:hint="default" w:ascii="Times New Roman" w:hAnsi="Times New Roman" w:eastAsia="宋体" w:cs="Times New Roman"/>
          <w:b w:val="0"/>
          <w:bCs/>
          <w:kern w:val="0"/>
          <w:sz w:val="21"/>
          <w:szCs w:val="21"/>
          <w:lang w:val="en-US" w:eastAsia="zh-CN" w:bidi="ar"/>
        </w:rPr>
      </w:pPr>
      <w:r>
        <w:rPr>
          <w:rFonts w:hint="default" w:ascii="Times New Roman" w:hAnsi="Times New Roman" w:eastAsia="宋体" w:cs="Times New Roman"/>
          <w:b w:val="0"/>
          <w:bCs/>
          <w:kern w:val="2"/>
          <w:sz w:val="21"/>
          <w:szCs w:val="21"/>
          <w:lang w:val="en-US" w:eastAsia="zh-CN" w:bidi="ar-SA"/>
        </w:rPr>
        <w:t xml:space="preserve">Independent Variable: </w:t>
      </w:r>
      <w:r>
        <w:rPr>
          <w:rFonts w:hint="eastAsia" w:ascii="Times New Roman" w:hAnsi="Times New Roman" w:eastAsia="宋体" w:cs="Times New Roman"/>
          <w:b w:val="0"/>
          <w:bCs/>
          <w:kern w:val="2"/>
          <w:sz w:val="21"/>
          <w:szCs w:val="21"/>
          <w:lang w:val="en-US" w:eastAsia="zh-CN" w:bidi="ar-SA"/>
        </w:rPr>
        <w:t>Common</w:t>
      </w:r>
      <w:r>
        <w:rPr>
          <w:rFonts w:hint="default" w:ascii="Times New Roman" w:hAnsi="Times New Roman" w:eastAsia="宋体" w:cs="Times New Roman"/>
          <w:b w:val="0"/>
          <w:bCs/>
          <w:kern w:val="2"/>
          <w:sz w:val="21"/>
          <w:szCs w:val="21"/>
          <w:lang w:val="en-US" w:eastAsia="zh-CN" w:bidi="ar-SA"/>
        </w:rPr>
        <w:t xml:space="preserve"> Institutional Ownership</w:t>
      </w:r>
    </w:p>
    <w:p w14:paraId="462C6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b w:val="0"/>
          <w:bCs/>
          <w:kern w:val="0"/>
          <w:sz w:val="21"/>
          <w:szCs w:val="21"/>
          <w:lang w:val="en-US" w:eastAsia="zh-CN" w:bidi="ar"/>
        </w:rPr>
      </w:pPr>
      <w:r>
        <w:rPr>
          <w:rFonts w:hint="eastAsia" w:ascii="Times New Roman" w:hAnsi="Times New Roman" w:eastAsia="宋体" w:cs="Times New Roman"/>
          <w:b w:val="0"/>
          <w:bCs/>
          <w:kern w:val="0"/>
          <w:sz w:val="21"/>
          <w:szCs w:val="21"/>
          <w:lang w:val="en-US" w:eastAsia="zh-CN" w:bidi="ar"/>
        </w:rPr>
        <w:t>Common</w:t>
      </w:r>
      <w:r>
        <w:rPr>
          <w:rFonts w:hint="default" w:ascii="Times New Roman" w:hAnsi="Times New Roman" w:eastAsia="宋体" w:cs="Times New Roman"/>
          <w:b w:val="0"/>
          <w:bCs/>
          <w:kern w:val="0"/>
          <w:sz w:val="21"/>
          <w:szCs w:val="21"/>
          <w:lang w:val="en-US" w:eastAsia="zh-CN" w:bidi="ar"/>
        </w:rPr>
        <w:t xml:space="preserve"> institutional ownership (Cldum / Clnum) refers to the phenomenon in which a single institutional investor holds equity in multiple companies within the same industry. Based on existing literature (Du et al., 2021), this paper constructs a dummy variable for </w:t>
      </w:r>
      <w:r>
        <w:rPr>
          <w:rFonts w:hint="eastAsia" w:ascii="Times New Roman" w:hAnsi="Times New Roman" w:eastAsia="宋体" w:cs="Times New Roman"/>
          <w:b w:val="0"/>
          <w:bCs/>
          <w:kern w:val="0"/>
          <w:sz w:val="21"/>
          <w:szCs w:val="21"/>
          <w:lang w:val="en-US" w:eastAsia="zh-CN" w:bidi="ar"/>
        </w:rPr>
        <w:t>common</w:t>
      </w:r>
      <w:r>
        <w:rPr>
          <w:rFonts w:hint="default" w:ascii="Times New Roman" w:hAnsi="Times New Roman" w:eastAsia="宋体" w:cs="Times New Roman"/>
          <w:b w:val="0"/>
          <w:bCs/>
          <w:kern w:val="0"/>
          <w:sz w:val="21"/>
          <w:szCs w:val="21"/>
          <w:lang w:val="en-US" w:eastAsia="zh-CN" w:bidi="ar"/>
        </w:rPr>
        <w:t xml:space="preserve"> institutional ownership (Cldum): it is assigned a value of 1 if the institutional investor holds at least 5% of shares in two or more companies within the same industry during the same quarter; otherwise, it is assigned a value of 0. Additionally, the number of </w:t>
      </w:r>
      <w:r>
        <w:rPr>
          <w:rFonts w:hint="eastAsia" w:ascii="Times New Roman" w:hAnsi="Times New Roman" w:eastAsia="宋体" w:cs="Times New Roman"/>
          <w:b w:val="0"/>
          <w:bCs/>
          <w:kern w:val="0"/>
          <w:sz w:val="21"/>
          <w:szCs w:val="21"/>
          <w:lang w:val="en-US" w:eastAsia="zh-CN" w:bidi="ar"/>
        </w:rPr>
        <w:t>common</w:t>
      </w:r>
      <w:r>
        <w:rPr>
          <w:rFonts w:hint="default" w:ascii="Times New Roman" w:hAnsi="Times New Roman" w:eastAsia="宋体" w:cs="Times New Roman"/>
          <w:b w:val="0"/>
          <w:bCs/>
          <w:kern w:val="0"/>
          <w:sz w:val="21"/>
          <w:szCs w:val="21"/>
          <w:lang w:val="en-US" w:eastAsia="zh-CN" w:bidi="ar"/>
        </w:rPr>
        <w:t xml:space="preserve"> institutional investors (Clnum) is calculated by determining the number of </w:t>
      </w:r>
      <w:r>
        <w:rPr>
          <w:rFonts w:hint="eastAsia" w:ascii="Times New Roman" w:hAnsi="Times New Roman" w:eastAsia="宋体" w:cs="Times New Roman"/>
          <w:b w:val="0"/>
          <w:bCs/>
          <w:kern w:val="0"/>
          <w:sz w:val="21"/>
          <w:szCs w:val="21"/>
          <w:lang w:val="en-US" w:eastAsia="zh-CN" w:bidi="ar"/>
        </w:rPr>
        <w:t>common</w:t>
      </w:r>
      <w:r>
        <w:rPr>
          <w:rFonts w:hint="default" w:ascii="Times New Roman" w:hAnsi="Times New Roman" w:eastAsia="宋体" w:cs="Times New Roman"/>
          <w:b w:val="0"/>
          <w:bCs/>
          <w:kern w:val="0"/>
          <w:sz w:val="21"/>
          <w:szCs w:val="21"/>
          <w:lang w:val="en-US" w:eastAsia="zh-CN" w:bidi="ar"/>
        </w:rPr>
        <w:t xml:space="preserve"> institutional investors in a company during the quarter and taking the logarithm of the annual average number after adding 1.</w:t>
      </w:r>
    </w:p>
    <w:p w14:paraId="401438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8EA4E"/>
    <w:multiLevelType w:val="singleLevel"/>
    <w:tmpl w:val="9DE8EA4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97F03"/>
    <w:rsid w:val="48154F4D"/>
    <w:rsid w:val="496C5537"/>
    <w:rsid w:val="4C197F03"/>
    <w:rsid w:val="503A45CD"/>
    <w:rsid w:val="594E6487"/>
    <w:rsid w:val="738B1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8"/>
      <w:szCs w:val="36"/>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上标"/>
    <w:basedOn w:val="3"/>
    <w:qFormat/>
    <w:uiPriority w:val="0"/>
    <w:rPr>
      <w:rFonts w:hint="eastAsia" w:ascii="Times New Roman" w:hAnsi="Times New Roman"/>
      <w:vertAlign w:val="superscript"/>
    </w:rPr>
  </w:style>
  <w:style w:type="character" w:customStyle="1" w:styleId="5">
    <w:name w:val="下标"/>
    <w:basedOn w:val="3"/>
    <w:qFormat/>
    <w:uiPriority w:val="0"/>
    <w:rPr>
      <w:rFonts w:hint="eastAsia" w:ascii="Times New Roman" w:hAnsi="Times New Roman" w:eastAsia="宋体" w:cs="Times New Roman"/>
      <w:sz w:val="24"/>
      <w:szCs w:val="24"/>
      <w:vertAlign w:val="subscript"/>
      <w:lang w:val="en-US" w:eastAsia="zh-CN"/>
    </w:rPr>
  </w:style>
  <w:style w:type="paragraph" w:customStyle="1" w:styleId="6">
    <w:name w:val="二级标题"/>
    <w:basedOn w:val="1"/>
    <w:next w:val="1"/>
    <w:qFormat/>
    <w:uiPriority w:val="0"/>
    <w:pPr>
      <w:keepNext/>
      <w:keepLines/>
      <w:spacing w:before="0" w:beforeLines="0" w:afterLines="0"/>
      <w:outlineLvl w:val="1"/>
    </w:pPr>
    <w:rPr>
      <w:rFonts w:hint="eastAsia" w:ascii="黑体" w:hAnsi="黑体" w:eastAsia="黑体" w:cs="黑体"/>
      <w:b/>
      <w:color w:val="000000"/>
      <w:sz w:val="32"/>
      <w:szCs w:val="32"/>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2026-04-17T06:19:00Z</dcterms:created>
  <dc:creator>谦儿</dc:creator>
  <cp:lastModifiedBy>谦儿</cp:lastModifiedBy>
  <dcterms:modified xsi:type="dcterms:W3CDTF">2026-04-17T06:19:46Z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4483F6735FB648E286D6719E3A675C87_11</vt:lpwstr>
  </property>
  <property fmtid="{D5CDD505-2E9C-101B-9397-08002B2CF9AE}" pid="4" name="KSOTemplateDocerSaveRecord">
    <vt:lpwstr>eyJoZGlkIjoiZDQ5ZmIxZmMyZGI0NjY3ZmZhZWY1OGE5ODIxNDU5MzciLCJ1c2VySWQiOiI4NzE3MTY5OTcifQ==</vt:lpwstr>
  </property>
</Properties>
</file>