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1B269" w14:textId="75A9F55B" w:rsidR="00236AAC" w:rsidRPr="00982C58" w:rsidRDefault="00236AAC" w:rsidP="00236AAC">
      <w:pPr>
        <w:pStyle w:val="Title"/>
        <w:spacing w:line="48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Supplementary Data</w:t>
      </w:r>
      <w:r>
        <w:rPr>
          <w:rFonts w:ascii="Times New Roman" w:eastAsia="Times New Roman" w:hAnsi="Times New Roman" w:cs="Times New Roman"/>
          <w:b/>
          <w:bCs/>
          <w:color w:val="000000" w:themeColor="text1"/>
          <w:sz w:val="24"/>
          <w:szCs w:val="24"/>
        </w:rPr>
        <w:br/>
      </w:r>
      <w:r w:rsidRPr="00982C58">
        <w:rPr>
          <w:rFonts w:ascii="Times New Roman" w:eastAsia="Times New Roman" w:hAnsi="Times New Roman" w:cs="Times New Roman"/>
          <w:b/>
          <w:bCs/>
          <w:color w:val="000000" w:themeColor="text1"/>
          <w:sz w:val="24"/>
          <w:szCs w:val="24"/>
        </w:rPr>
        <w:t>Elucidation of Inflammatory-Fibrotic Microenvironment in Urethral Stricture Disease</w:t>
      </w:r>
    </w:p>
    <w:p w14:paraId="18C8B781" w14:textId="77777777" w:rsidR="00236AAC" w:rsidRPr="00982C58" w:rsidRDefault="00236AAC" w:rsidP="00236AAC">
      <w:pPr>
        <w:spacing w:line="480" w:lineRule="auto"/>
        <w:jc w:val="both"/>
        <w:rPr>
          <w:rFonts w:ascii="Times New Roman" w:eastAsia="Times New Roman" w:hAnsi="Times New Roman" w:cs="Times New Roman"/>
          <w:color w:val="000000" w:themeColor="text1"/>
          <w:kern w:val="0"/>
          <w14:ligatures w14:val="none"/>
        </w:rPr>
      </w:pPr>
      <w:r w:rsidRPr="00982C58">
        <w:rPr>
          <w:rFonts w:ascii="Times New Roman" w:hAnsi="Times New Roman" w:cs="Times New Roman"/>
          <w:color w:val="000000" w:themeColor="text1"/>
        </w:rPr>
        <w:t>Varshiny Gopinath</w:t>
      </w:r>
      <w:r w:rsidRPr="00982C58">
        <w:rPr>
          <w:rFonts w:ascii="Times New Roman" w:hAnsi="Times New Roman" w:cs="Times New Roman"/>
          <w:color w:val="000000" w:themeColor="text1"/>
          <w:vertAlign w:val="superscript"/>
        </w:rPr>
        <w:t xml:space="preserve">1,2,4 </w:t>
      </w:r>
      <w:r w:rsidRPr="00982C58">
        <w:rPr>
          <w:rFonts w:ascii="Times New Roman" w:hAnsi="Times New Roman" w:cs="Times New Roman"/>
          <w:color w:val="000000" w:themeColor="text1"/>
        </w:rPr>
        <w:t>, Manesh Kumar Panner Selvam</w:t>
      </w:r>
      <w:r w:rsidRPr="00982C58">
        <w:rPr>
          <w:rFonts w:ascii="Times New Roman" w:hAnsi="Times New Roman" w:cs="Times New Roman"/>
          <w:color w:val="000000" w:themeColor="text1"/>
          <w:vertAlign w:val="superscript"/>
        </w:rPr>
        <w:t>5</w:t>
      </w:r>
      <w:r w:rsidRPr="00982C58">
        <w:rPr>
          <w:rFonts w:ascii="Times New Roman" w:hAnsi="Times New Roman" w:cs="Times New Roman"/>
          <w:color w:val="000000" w:themeColor="text1"/>
        </w:rPr>
        <w:t>, Jill Buckley</w:t>
      </w:r>
      <w:r w:rsidRPr="00982C58">
        <w:rPr>
          <w:rFonts w:ascii="Times New Roman" w:hAnsi="Times New Roman" w:cs="Times New Roman"/>
          <w:color w:val="000000" w:themeColor="text1"/>
          <w:vertAlign w:val="superscript"/>
        </w:rPr>
        <w:t>2</w:t>
      </w:r>
      <w:r w:rsidRPr="00982C58">
        <w:rPr>
          <w:rFonts w:ascii="Times New Roman" w:hAnsi="Times New Roman" w:cs="Times New Roman"/>
          <w:color w:val="000000" w:themeColor="text1"/>
        </w:rPr>
        <w:t>, Jennifer Anger</w:t>
      </w:r>
      <w:r w:rsidRPr="00982C58">
        <w:rPr>
          <w:rFonts w:ascii="Times New Roman" w:hAnsi="Times New Roman" w:cs="Times New Roman"/>
          <w:color w:val="000000" w:themeColor="text1"/>
          <w:vertAlign w:val="superscript"/>
        </w:rPr>
        <w:t>2</w:t>
      </w:r>
      <w:r w:rsidRPr="00982C58">
        <w:rPr>
          <w:rFonts w:ascii="Times New Roman" w:hAnsi="Times New Roman" w:cs="Times New Roman"/>
          <w:color w:val="000000" w:themeColor="text1"/>
        </w:rPr>
        <w:t xml:space="preserve">, </w:t>
      </w:r>
      <w:r w:rsidRPr="00982C58">
        <w:rPr>
          <w:rFonts w:ascii="Times New Roman" w:hAnsi="Times New Roman" w:cs="Times New Roman"/>
          <w:color w:val="000000" w:themeColor="text1"/>
          <w:shd w:val="clear" w:color="auto" w:fill="FFFFFF"/>
        </w:rPr>
        <w:t>Kyoko Sakamoto</w:t>
      </w:r>
      <w:r w:rsidRPr="00982C58">
        <w:rPr>
          <w:rFonts w:ascii="Times New Roman" w:hAnsi="Times New Roman" w:cs="Times New Roman"/>
          <w:color w:val="000000" w:themeColor="text1"/>
          <w:shd w:val="clear" w:color="auto" w:fill="FFFFFF"/>
          <w:vertAlign w:val="superscript"/>
        </w:rPr>
        <w:t>1</w:t>
      </w:r>
      <w:r w:rsidRPr="00982C58">
        <w:rPr>
          <w:rFonts w:ascii="Times New Roman" w:hAnsi="Times New Roman" w:cs="Times New Roman"/>
          <w:color w:val="000000" w:themeColor="text1"/>
        </w:rPr>
        <w:t>, Nirav Patel</w:t>
      </w:r>
      <w:r w:rsidRPr="00982C58">
        <w:rPr>
          <w:rFonts w:ascii="Times New Roman" w:hAnsi="Times New Roman" w:cs="Times New Roman"/>
          <w:color w:val="000000" w:themeColor="text1"/>
          <w:vertAlign w:val="superscript"/>
        </w:rPr>
        <w:t>3</w:t>
      </w:r>
      <w:r w:rsidRPr="00982C58">
        <w:rPr>
          <w:rFonts w:ascii="Times New Roman" w:hAnsi="Times New Roman" w:cs="Times New Roman"/>
          <w:color w:val="000000" w:themeColor="text1"/>
        </w:rPr>
        <w:t>, Ratnesh Lal</w:t>
      </w:r>
      <w:r w:rsidRPr="00982C58">
        <w:rPr>
          <w:rFonts w:ascii="Times New Roman" w:hAnsi="Times New Roman" w:cs="Times New Roman"/>
          <w:color w:val="000000" w:themeColor="text1"/>
          <w:vertAlign w:val="superscript"/>
        </w:rPr>
        <w:t>3</w:t>
      </w:r>
      <w:r w:rsidRPr="00982C58">
        <w:rPr>
          <w:rFonts w:ascii="Times New Roman" w:hAnsi="Times New Roman" w:cs="Times New Roman"/>
          <w:color w:val="000000" w:themeColor="text1"/>
        </w:rPr>
        <w:t xml:space="preserve">, </w:t>
      </w:r>
      <w:r w:rsidRPr="00982C58">
        <w:rPr>
          <w:rFonts w:ascii="Times New Roman" w:eastAsia="Times New Roman" w:hAnsi="Times New Roman" w:cs="Times New Roman"/>
          <w:color w:val="000000" w:themeColor="text1"/>
          <w:kern w:val="0"/>
          <w14:ligatures w14:val="none"/>
        </w:rPr>
        <w:t>Michael Witthaus</w:t>
      </w:r>
      <w:r w:rsidRPr="00982C58">
        <w:rPr>
          <w:rFonts w:ascii="Times New Roman" w:eastAsia="Times New Roman" w:hAnsi="Times New Roman" w:cs="Times New Roman"/>
          <w:color w:val="000000" w:themeColor="text1"/>
          <w:kern w:val="0"/>
          <w:vertAlign w:val="superscript"/>
          <w14:ligatures w14:val="none"/>
        </w:rPr>
        <w:t>6</w:t>
      </w:r>
      <w:r w:rsidRPr="00982C58">
        <w:rPr>
          <w:rFonts w:ascii="Times New Roman" w:eastAsia="Times New Roman" w:hAnsi="Times New Roman" w:cs="Times New Roman"/>
          <w:color w:val="000000" w:themeColor="text1"/>
          <w:kern w:val="0"/>
          <w14:ligatures w14:val="none"/>
        </w:rPr>
        <w:t xml:space="preserve">, </w:t>
      </w:r>
      <w:r w:rsidRPr="00982C58">
        <w:rPr>
          <w:rFonts w:ascii="Times New Roman" w:hAnsi="Times New Roman" w:cs="Times New Roman"/>
          <w:color w:val="000000" w:themeColor="text1"/>
        </w:rPr>
        <w:t>Mahadevan Rajasekaran</w:t>
      </w:r>
      <w:r w:rsidRPr="00982C58">
        <w:rPr>
          <w:rFonts w:ascii="Times New Roman" w:hAnsi="Times New Roman" w:cs="Times New Roman"/>
          <w:color w:val="000000" w:themeColor="text1"/>
          <w:vertAlign w:val="superscript"/>
        </w:rPr>
        <w:t>1,2</w:t>
      </w:r>
      <w:r w:rsidRPr="00982C58">
        <w:rPr>
          <w:rFonts w:ascii="Times New Roman" w:hAnsi="Times New Roman" w:cs="Times New Roman"/>
          <w:color w:val="000000" w:themeColor="text1"/>
        </w:rPr>
        <w:t>*</w:t>
      </w:r>
    </w:p>
    <w:p w14:paraId="67347C12" w14:textId="77777777" w:rsidR="00236AAC" w:rsidRPr="00982C58" w:rsidRDefault="00236AAC" w:rsidP="00236AAC">
      <w:pPr>
        <w:pStyle w:val="NoSpacing"/>
        <w:spacing w:line="480" w:lineRule="auto"/>
        <w:jc w:val="both"/>
        <w:rPr>
          <w:rFonts w:ascii="Times New Roman" w:hAnsi="Times New Roman" w:cs="Times New Roman"/>
          <w:color w:val="000000" w:themeColor="text1"/>
        </w:rPr>
      </w:pPr>
      <w:r w:rsidRPr="00982C58">
        <w:rPr>
          <w:rFonts w:ascii="Times New Roman" w:hAnsi="Times New Roman" w:cs="Times New Roman"/>
          <w:color w:val="000000" w:themeColor="text1"/>
          <w:vertAlign w:val="superscript"/>
        </w:rPr>
        <w:t xml:space="preserve">1 </w:t>
      </w:r>
      <w:r w:rsidRPr="00982C58">
        <w:rPr>
          <w:rFonts w:ascii="Times New Roman" w:hAnsi="Times New Roman" w:cs="Times New Roman"/>
          <w:color w:val="000000" w:themeColor="text1"/>
        </w:rPr>
        <w:t>VA San Diego Healthcare System, San Diego, USA,</w:t>
      </w:r>
    </w:p>
    <w:p w14:paraId="63889ED2" w14:textId="77777777" w:rsidR="00236AAC" w:rsidRPr="00982C58" w:rsidRDefault="00236AAC" w:rsidP="00236AAC">
      <w:pPr>
        <w:spacing w:line="480" w:lineRule="auto"/>
        <w:jc w:val="both"/>
        <w:rPr>
          <w:rFonts w:ascii="Times New Roman" w:hAnsi="Times New Roman" w:cs="Times New Roman"/>
          <w:color w:val="000000" w:themeColor="text1"/>
        </w:rPr>
      </w:pPr>
      <w:r w:rsidRPr="00982C58">
        <w:rPr>
          <w:rFonts w:ascii="Times New Roman" w:hAnsi="Times New Roman" w:cs="Times New Roman"/>
          <w:color w:val="000000" w:themeColor="text1"/>
          <w:vertAlign w:val="superscript"/>
        </w:rPr>
        <w:t xml:space="preserve">2 </w:t>
      </w:r>
      <w:r w:rsidRPr="00982C58">
        <w:rPr>
          <w:rFonts w:ascii="Times New Roman" w:hAnsi="Times New Roman" w:cs="Times New Roman"/>
          <w:color w:val="000000" w:themeColor="text1"/>
        </w:rPr>
        <w:t>Department of Urology, School of Medicine, UC San Diego, San Diego, USA,</w:t>
      </w:r>
    </w:p>
    <w:p w14:paraId="0B41C7CB" w14:textId="77777777" w:rsidR="00236AAC" w:rsidRPr="00982C58" w:rsidRDefault="00236AAC" w:rsidP="00236AAC">
      <w:pPr>
        <w:spacing w:line="480" w:lineRule="auto"/>
        <w:jc w:val="both"/>
        <w:rPr>
          <w:rFonts w:ascii="Times New Roman" w:hAnsi="Times New Roman" w:cs="Times New Roman"/>
          <w:color w:val="000000" w:themeColor="text1"/>
        </w:rPr>
      </w:pPr>
      <w:r w:rsidRPr="00982C58">
        <w:rPr>
          <w:rFonts w:ascii="Times New Roman" w:hAnsi="Times New Roman" w:cs="Times New Roman"/>
          <w:color w:val="000000" w:themeColor="text1"/>
          <w:vertAlign w:val="superscript"/>
        </w:rPr>
        <w:t xml:space="preserve">3 </w:t>
      </w:r>
      <w:r w:rsidRPr="00982C58">
        <w:rPr>
          <w:rFonts w:ascii="Times New Roman" w:hAnsi="Times New Roman" w:cs="Times New Roman"/>
          <w:color w:val="000000" w:themeColor="text1"/>
        </w:rPr>
        <w:t>Department of Mechanical Engineering and Department of Bioengineering,</w:t>
      </w:r>
      <w:r w:rsidRPr="00982C58">
        <w:rPr>
          <w:rFonts w:ascii="Times New Roman" w:hAnsi="Times New Roman" w:cs="Times New Roman"/>
          <w:color w:val="000000" w:themeColor="text1"/>
          <w:vertAlign w:val="superscript"/>
        </w:rPr>
        <w:t xml:space="preserve"> </w:t>
      </w:r>
      <w:r w:rsidRPr="00982C58">
        <w:rPr>
          <w:rFonts w:ascii="Times New Roman" w:hAnsi="Times New Roman" w:cs="Times New Roman"/>
          <w:color w:val="000000" w:themeColor="text1"/>
        </w:rPr>
        <w:t>School of Engineering, UC San Diego, San Diego, USA</w:t>
      </w:r>
    </w:p>
    <w:p w14:paraId="759A60A1" w14:textId="77777777" w:rsidR="00236AAC" w:rsidRPr="00982C58" w:rsidRDefault="00236AAC" w:rsidP="00236AAC">
      <w:pPr>
        <w:spacing w:line="480" w:lineRule="auto"/>
        <w:jc w:val="both"/>
        <w:rPr>
          <w:rFonts w:ascii="Times New Roman" w:hAnsi="Times New Roman" w:cs="Times New Roman"/>
          <w:color w:val="000000" w:themeColor="text1"/>
        </w:rPr>
      </w:pPr>
      <w:r w:rsidRPr="00982C58">
        <w:rPr>
          <w:rFonts w:ascii="Times New Roman" w:hAnsi="Times New Roman" w:cs="Times New Roman"/>
          <w:color w:val="000000" w:themeColor="text1"/>
          <w:vertAlign w:val="superscript"/>
        </w:rPr>
        <w:t xml:space="preserve">4 </w:t>
      </w:r>
      <w:r w:rsidRPr="00982C58">
        <w:rPr>
          <w:rFonts w:ascii="Times New Roman" w:hAnsi="Times New Roman" w:cs="Times New Roman"/>
          <w:color w:val="000000" w:themeColor="text1"/>
        </w:rPr>
        <w:t>Department of Biotechnology, Bhupat and Jyoti Mehta School of Biosciences, Indian Institute of Technology Madras, Chennai 600036, Tamil Nadu, India</w:t>
      </w:r>
    </w:p>
    <w:p w14:paraId="3E79EEEF" w14:textId="77777777" w:rsidR="00236AAC" w:rsidRPr="00982C58" w:rsidRDefault="00236AAC" w:rsidP="00236AAC">
      <w:pPr>
        <w:spacing w:line="480" w:lineRule="auto"/>
        <w:jc w:val="both"/>
        <w:rPr>
          <w:rFonts w:ascii="Times New Roman" w:hAnsi="Times New Roman" w:cs="Times New Roman"/>
          <w:color w:val="000000" w:themeColor="text1"/>
        </w:rPr>
      </w:pPr>
      <w:r w:rsidRPr="00982C58">
        <w:rPr>
          <w:rFonts w:ascii="Times New Roman" w:hAnsi="Times New Roman" w:cs="Times New Roman"/>
          <w:color w:val="000000" w:themeColor="text1"/>
          <w:vertAlign w:val="superscript"/>
        </w:rPr>
        <w:t xml:space="preserve">5 </w:t>
      </w:r>
      <w:r w:rsidRPr="00982C58">
        <w:rPr>
          <w:rFonts w:ascii="Times New Roman" w:hAnsi="Times New Roman" w:cs="Times New Roman"/>
          <w:color w:val="000000" w:themeColor="text1"/>
        </w:rPr>
        <w:t>Department of Urology, Tulane University School of Medicine, New Orleans, USA</w:t>
      </w:r>
    </w:p>
    <w:p w14:paraId="66D0169F" w14:textId="77777777" w:rsidR="00236AAC" w:rsidRPr="00982C58" w:rsidRDefault="00236AAC" w:rsidP="00236AAC">
      <w:pPr>
        <w:spacing w:line="480" w:lineRule="auto"/>
        <w:jc w:val="both"/>
        <w:rPr>
          <w:rFonts w:ascii="Times New Roman" w:hAnsi="Times New Roman" w:cs="Times New Roman"/>
          <w:color w:val="000000" w:themeColor="text1"/>
        </w:rPr>
      </w:pPr>
      <w:r w:rsidRPr="00982C58">
        <w:rPr>
          <w:rFonts w:ascii="Times New Roman" w:hAnsi="Times New Roman" w:cs="Times New Roman"/>
          <w:color w:val="000000" w:themeColor="text1"/>
          <w:vertAlign w:val="superscript"/>
        </w:rPr>
        <w:t>6</w:t>
      </w:r>
      <w:r w:rsidRPr="00982C58">
        <w:rPr>
          <w:rFonts w:ascii="Times New Roman" w:hAnsi="Times New Roman" w:cs="Times New Roman"/>
          <w:color w:val="000000" w:themeColor="text1"/>
        </w:rPr>
        <w:t>Department of Surgery, University of Maryland School of Medicine, Baltimore, USA</w:t>
      </w:r>
    </w:p>
    <w:p w14:paraId="5800BCC2" w14:textId="77777777" w:rsidR="00236AAC" w:rsidRPr="00982C58" w:rsidRDefault="00236AAC" w:rsidP="00236AAC">
      <w:pPr>
        <w:spacing w:line="480" w:lineRule="auto"/>
        <w:jc w:val="both"/>
        <w:rPr>
          <w:rFonts w:ascii="Times New Roman" w:hAnsi="Times New Roman" w:cs="Times New Roman"/>
          <w:color w:val="000000" w:themeColor="text1"/>
        </w:rPr>
      </w:pPr>
      <w:r w:rsidRPr="00982C58">
        <w:rPr>
          <w:rFonts w:ascii="Times New Roman" w:hAnsi="Times New Roman" w:cs="Times New Roman"/>
          <w:color w:val="000000" w:themeColor="text1"/>
        </w:rPr>
        <w:t xml:space="preserve">Corresponding author email: </w:t>
      </w:r>
      <w:hyperlink r:id="rId5" w:history="1">
        <w:r w:rsidRPr="00982C58">
          <w:rPr>
            <w:rStyle w:val="Hyperlink"/>
            <w:rFonts w:ascii="Times New Roman" w:hAnsi="Times New Roman" w:cs="Times New Roman"/>
          </w:rPr>
          <w:t>mrajasekaran@health.ucsd.edu</w:t>
        </w:r>
      </w:hyperlink>
    </w:p>
    <w:p w14:paraId="36F654A6" w14:textId="77777777" w:rsidR="00236AAC" w:rsidRDefault="00236AAC" w:rsidP="00236AAC">
      <w:pPr>
        <w:spacing w:line="480" w:lineRule="auto"/>
        <w:jc w:val="both"/>
        <w:rPr>
          <w:rFonts w:ascii="Times New Roman" w:eastAsia="Times New Roman" w:hAnsi="Times New Roman" w:cs="Times New Roman"/>
          <w:b/>
          <w:bCs/>
          <w:noProof/>
          <w:color w:val="000000" w:themeColor="text1"/>
          <w:kern w:val="0"/>
        </w:rPr>
      </w:pPr>
    </w:p>
    <w:p w14:paraId="013E9203" w14:textId="77777777" w:rsidR="00236AAC" w:rsidRDefault="00236AAC" w:rsidP="00236AAC">
      <w:pPr>
        <w:spacing w:line="480" w:lineRule="auto"/>
        <w:jc w:val="both"/>
        <w:rPr>
          <w:rFonts w:ascii="Times New Roman" w:eastAsia="Times New Roman" w:hAnsi="Times New Roman" w:cs="Times New Roman"/>
          <w:b/>
          <w:bCs/>
          <w:noProof/>
          <w:color w:val="000000" w:themeColor="text1"/>
          <w:kern w:val="0"/>
        </w:rPr>
      </w:pPr>
    </w:p>
    <w:p w14:paraId="666C820D" w14:textId="77777777" w:rsidR="00236AAC" w:rsidRDefault="00236AAC" w:rsidP="00236AAC">
      <w:pPr>
        <w:spacing w:line="480" w:lineRule="auto"/>
        <w:jc w:val="both"/>
        <w:rPr>
          <w:rFonts w:ascii="Times New Roman" w:eastAsia="Times New Roman" w:hAnsi="Times New Roman" w:cs="Times New Roman"/>
          <w:b/>
          <w:bCs/>
          <w:noProof/>
          <w:color w:val="000000" w:themeColor="text1"/>
          <w:kern w:val="0"/>
        </w:rPr>
      </w:pPr>
    </w:p>
    <w:p w14:paraId="75584169" w14:textId="77777777" w:rsidR="00236AAC" w:rsidRDefault="00236AAC" w:rsidP="00236AAC">
      <w:pPr>
        <w:spacing w:line="480" w:lineRule="auto"/>
        <w:jc w:val="both"/>
        <w:rPr>
          <w:rFonts w:ascii="Times New Roman" w:eastAsia="Times New Roman" w:hAnsi="Times New Roman" w:cs="Times New Roman"/>
          <w:b/>
          <w:bCs/>
          <w:noProof/>
          <w:color w:val="000000" w:themeColor="text1"/>
          <w:kern w:val="0"/>
        </w:rPr>
      </w:pPr>
    </w:p>
    <w:p w14:paraId="35A0BE74" w14:textId="77777777" w:rsidR="00236AAC" w:rsidRDefault="00236AAC" w:rsidP="00236AAC">
      <w:pPr>
        <w:spacing w:line="480" w:lineRule="auto"/>
        <w:jc w:val="both"/>
        <w:rPr>
          <w:rFonts w:ascii="Times New Roman" w:eastAsia="Times New Roman" w:hAnsi="Times New Roman" w:cs="Times New Roman"/>
          <w:b/>
          <w:bCs/>
          <w:noProof/>
          <w:color w:val="000000" w:themeColor="text1"/>
          <w:kern w:val="0"/>
        </w:rPr>
      </w:pPr>
    </w:p>
    <w:p w14:paraId="6CFD9E83" w14:textId="77777777" w:rsidR="00236AAC" w:rsidRDefault="00236AAC" w:rsidP="00236AAC">
      <w:pPr>
        <w:spacing w:line="480" w:lineRule="auto"/>
        <w:jc w:val="both"/>
        <w:rPr>
          <w:rFonts w:ascii="Times New Roman" w:eastAsia="Times New Roman" w:hAnsi="Times New Roman" w:cs="Times New Roman"/>
          <w:b/>
          <w:bCs/>
          <w:noProof/>
          <w:color w:val="000000" w:themeColor="text1"/>
          <w:kern w:val="0"/>
        </w:rPr>
      </w:pPr>
    </w:p>
    <w:p w14:paraId="09AF8B02" w14:textId="77777777" w:rsidR="00236AAC" w:rsidRDefault="00236AAC" w:rsidP="00236AAC">
      <w:pPr>
        <w:spacing w:line="480" w:lineRule="auto"/>
        <w:jc w:val="both"/>
        <w:rPr>
          <w:rFonts w:ascii="Times New Roman" w:eastAsia="Times New Roman" w:hAnsi="Times New Roman" w:cs="Times New Roman"/>
          <w:b/>
          <w:bCs/>
          <w:noProof/>
          <w:color w:val="000000" w:themeColor="text1"/>
          <w:kern w:val="0"/>
        </w:rPr>
      </w:pPr>
    </w:p>
    <w:p w14:paraId="4169A986" w14:textId="28601919" w:rsidR="00906A0B" w:rsidRPr="00236AAC" w:rsidRDefault="00236AAC" w:rsidP="00236AAC">
      <w:pPr>
        <w:spacing w:line="480" w:lineRule="auto"/>
        <w:jc w:val="both"/>
        <w:rPr>
          <w:rFonts w:ascii="Times New Roman" w:eastAsia="Times New Roman" w:hAnsi="Times New Roman" w:cs="Times New Roman"/>
          <w:b/>
          <w:bCs/>
          <w:noProof/>
          <w:color w:val="000000" w:themeColor="text1"/>
          <w:kern w:val="0"/>
        </w:rPr>
      </w:pPr>
      <w:r w:rsidRPr="00236AAC">
        <w:rPr>
          <w:rFonts w:ascii="Times New Roman" w:eastAsia="Times New Roman" w:hAnsi="Times New Roman" w:cs="Times New Roman"/>
          <w:b/>
          <w:bCs/>
          <w:noProof/>
          <w:color w:val="000000" w:themeColor="text1"/>
          <w:kern w:val="0"/>
        </w:rPr>
        <w:lastRenderedPageBreak/>
        <w:t>Supplementary Figures</w:t>
      </w:r>
    </w:p>
    <w:p w14:paraId="4A3D3B27" w14:textId="0D9960C9" w:rsidR="00527AD7" w:rsidRPr="00236AAC" w:rsidRDefault="00906A0B" w:rsidP="00236AAC">
      <w:pPr>
        <w:spacing w:line="480" w:lineRule="auto"/>
        <w:jc w:val="both"/>
        <w:rPr>
          <w:rFonts w:ascii="Times New Roman" w:hAnsi="Times New Roman" w:cs="Times New Roman"/>
        </w:rPr>
      </w:pPr>
      <w:r w:rsidRPr="00236AAC">
        <w:rPr>
          <w:rFonts w:ascii="Times New Roman" w:eastAsia="Times New Roman" w:hAnsi="Times New Roman" w:cs="Times New Roman"/>
          <w:b/>
          <w:bCs/>
          <w:noProof/>
          <w:color w:val="000000" w:themeColor="text1"/>
          <w:kern w:val="0"/>
        </w:rPr>
        <w:drawing>
          <wp:inline distT="0" distB="0" distL="0" distR="0" wp14:anchorId="7046ADFF" wp14:editId="1AE3819E">
            <wp:extent cx="5943600" cy="2760980"/>
            <wp:effectExtent l="0" t="0" r="0" b="0"/>
            <wp:docPr id="921373141" name="Picture 3" descr="A graph showing different types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373141" name="Picture 3" descr="A graph showing different types of cell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760980"/>
                    </a:xfrm>
                    <a:prstGeom prst="rect">
                      <a:avLst/>
                    </a:prstGeom>
                  </pic:spPr>
                </pic:pic>
              </a:graphicData>
            </a:graphic>
          </wp:inline>
        </w:drawing>
      </w:r>
    </w:p>
    <w:p w14:paraId="3DA0A1B5" w14:textId="442C3B01" w:rsidR="00906A0B" w:rsidRPr="00236AAC" w:rsidRDefault="00236AAC" w:rsidP="00236AAC">
      <w:pPr>
        <w:spacing w:before="100" w:beforeAutospacing="1" w:after="100" w:afterAutospacing="1" w:line="480" w:lineRule="auto"/>
        <w:jc w:val="both"/>
        <w:outlineLvl w:val="1"/>
        <w:rPr>
          <w:rFonts w:ascii="Times New Roman" w:eastAsia="Times New Roman" w:hAnsi="Times New Roman" w:cs="Times New Roman"/>
          <w:b/>
          <w:bCs/>
          <w:color w:val="000000" w:themeColor="text1"/>
          <w:kern w:val="0"/>
          <w14:ligatures w14:val="none"/>
        </w:rPr>
      </w:pPr>
      <w:r w:rsidRPr="00236AAC">
        <w:rPr>
          <w:rFonts w:ascii="Times New Roman" w:eastAsia="Times New Roman" w:hAnsi="Times New Roman" w:cs="Times New Roman"/>
          <w:b/>
          <w:bCs/>
          <w:color w:val="000000" w:themeColor="text1"/>
          <w:kern w:val="0"/>
          <w14:ligatures w14:val="none"/>
        </w:rPr>
        <w:t>Figure S</w:t>
      </w:r>
      <w:r>
        <w:rPr>
          <w:rFonts w:ascii="Times New Roman" w:eastAsia="Times New Roman" w:hAnsi="Times New Roman" w:cs="Times New Roman"/>
          <w:b/>
          <w:bCs/>
          <w:color w:val="000000" w:themeColor="text1"/>
          <w:kern w:val="0"/>
          <w14:ligatures w14:val="none"/>
        </w:rPr>
        <w:t>F</w:t>
      </w:r>
      <w:r w:rsidRPr="00236AAC">
        <w:rPr>
          <w:rFonts w:ascii="Times New Roman" w:eastAsia="Times New Roman" w:hAnsi="Times New Roman" w:cs="Times New Roman"/>
          <w:b/>
          <w:bCs/>
          <w:color w:val="000000" w:themeColor="text1"/>
          <w:kern w:val="0"/>
          <w14:ligatures w14:val="none"/>
        </w:rPr>
        <w:t>1: Gene ontology representing biological processes (BP, green), cellular components (CC, orange), and molecular functions (MF, blue).</w:t>
      </w:r>
    </w:p>
    <w:p w14:paraId="7994B650" w14:textId="77777777" w:rsidR="00236AAC" w:rsidRPr="00236AAC" w:rsidRDefault="00906A0B" w:rsidP="00236AAC">
      <w:pPr>
        <w:spacing w:line="480" w:lineRule="auto"/>
        <w:jc w:val="both"/>
        <w:rPr>
          <w:rFonts w:ascii="Times New Roman" w:hAnsi="Times New Roman" w:cs="Times New Roman"/>
        </w:rPr>
      </w:pPr>
      <w:r w:rsidRPr="00236AAC">
        <w:rPr>
          <w:rFonts w:ascii="Times New Roman" w:eastAsia="Times New Roman" w:hAnsi="Times New Roman" w:cs="Times New Roman"/>
          <w:b/>
          <w:bCs/>
          <w:noProof/>
          <w:color w:val="000000" w:themeColor="text1"/>
          <w:kern w:val="0"/>
          <w14:ligatures w14:val="none"/>
        </w:rPr>
        <w:drawing>
          <wp:inline distT="0" distB="0" distL="0" distR="0" wp14:anchorId="0849EDBC" wp14:editId="575D1B91">
            <wp:extent cx="5106834" cy="3063009"/>
            <wp:effectExtent l="12700" t="12700" r="11430" b="10795"/>
            <wp:docPr id="8" name="Picture 7" descr="A screenshot of a computer&#10;&#10;AI-generated content may be incorrect.">
              <a:extLst xmlns:a="http://schemas.openxmlformats.org/drawingml/2006/main">
                <a:ext uri="{FF2B5EF4-FFF2-40B4-BE49-F238E27FC236}">
                  <a16:creationId xmlns:a16="http://schemas.microsoft.com/office/drawing/2014/main" id="{12FF30E7-B8F6-F963-3FA8-206EE83B13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screenshot of a computer&#10;&#10;AI-generated content may be incorrect.">
                      <a:extLst>
                        <a:ext uri="{FF2B5EF4-FFF2-40B4-BE49-F238E27FC236}">
                          <a16:creationId xmlns:a16="http://schemas.microsoft.com/office/drawing/2014/main" id="{12FF30E7-B8F6-F963-3FA8-206EE83B139B}"/>
                        </a:ext>
                      </a:extLst>
                    </pic:cNvPr>
                    <pic:cNvPicPr>
                      <a:picLocks noChangeAspect="1"/>
                    </pic:cNvPicPr>
                  </pic:nvPicPr>
                  <pic:blipFill>
                    <a:blip r:embed="rId7"/>
                    <a:srcRect l="13342"/>
                    <a:stretch/>
                  </pic:blipFill>
                  <pic:spPr>
                    <a:xfrm>
                      <a:off x="0" y="0"/>
                      <a:ext cx="5124789" cy="3073778"/>
                    </a:xfrm>
                    <a:prstGeom prst="rect">
                      <a:avLst/>
                    </a:prstGeom>
                    <a:ln>
                      <a:solidFill>
                        <a:schemeClr val="tx1"/>
                      </a:solidFill>
                    </a:ln>
                  </pic:spPr>
                </pic:pic>
              </a:graphicData>
            </a:graphic>
          </wp:inline>
        </w:drawing>
      </w:r>
    </w:p>
    <w:p w14:paraId="7E0274C3" w14:textId="33A86E4A" w:rsidR="00906A0B" w:rsidRPr="00236AAC" w:rsidRDefault="00236AAC" w:rsidP="00236AAC">
      <w:pPr>
        <w:spacing w:line="480" w:lineRule="auto"/>
        <w:jc w:val="both"/>
        <w:rPr>
          <w:rFonts w:ascii="Times New Roman" w:hAnsi="Times New Roman" w:cs="Times New Roman"/>
        </w:rPr>
      </w:pPr>
      <w:r w:rsidRPr="00236AAC">
        <w:rPr>
          <w:rFonts w:ascii="Times New Roman" w:eastAsia="Times New Roman" w:hAnsi="Times New Roman" w:cs="Times New Roman"/>
          <w:b/>
          <w:bCs/>
          <w:color w:val="000000" w:themeColor="text1"/>
          <w:kern w:val="0"/>
          <w14:ligatures w14:val="none"/>
        </w:rPr>
        <w:lastRenderedPageBreak/>
        <w:t>Figure S</w:t>
      </w:r>
      <w:r>
        <w:rPr>
          <w:rFonts w:ascii="Times New Roman" w:eastAsia="Times New Roman" w:hAnsi="Times New Roman" w:cs="Times New Roman"/>
          <w:b/>
          <w:bCs/>
          <w:color w:val="000000" w:themeColor="text1"/>
          <w:kern w:val="0"/>
          <w14:ligatures w14:val="none"/>
        </w:rPr>
        <w:t>F</w:t>
      </w:r>
      <w:r w:rsidRPr="00236AAC">
        <w:rPr>
          <w:rFonts w:ascii="Times New Roman" w:eastAsia="Times New Roman" w:hAnsi="Times New Roman" w:cs="Times New Roman"/>
          <w:b/>
          <w:bCs/>
          <w:color w:val="000000" w:themeColor="text1"/>
          <w:kern w:val="0"/>
          <w14:ligatures w14:val="none"/>
        </w:rPr>
        <w:t>2: Pathway enrichment analysis of differentially expressed genes in USD.</w:t>
      </w:r>
      <w:r w:rsidR="00906A0B" w:rsidRPr="00236AAC">
        <w:rPr>
          <w:rFonts w:ascii="Times New Roman" w:hAnsi="Times New Roman" w:cs="Times New Roman"/>
        </w:rPr>
        <w:br/>
      </w:r>
      <w:r w:rsidR="00906A0B" w:rsidRPr="00236AAC">
        <w:rPr>
          <w:rFonts w:ascii="Times New Roman" w:hAnsi="Times New Roman" w:cs="Times New Roman"/>
        </w:rPr>
        <w:br/>
      </w:r>
      <w:r w:rsidR="00906A0B" w:rsidRPr="00236AAC">
        <w:rPr>
          <w:rFonts w:ascii="Times New Roman" w:hAnsi="Times New Roman" w:cs="Times New Roman"/>
          <w:noProof/>
          <w:color w:val="000000" w:themeColor="text1"/>
        </w:rPr>
        <w:drawing>
          <wp:inline distT="0" distB="0" distL="0" distR="0" wp14:anchorId="50CCCD02" wp14:editId="5BE19CDE">
            <wp:extent cx="4213412" cy="1984715"/>
            <wp:effectExtent l="0" t="0" r="3175" b="0"/>
            <wp:docPr id="1163280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280350" name=""/>
                    <pic:cNvPicPr/>
                  </pic:nvPicPr>
                  <pic:blipFill>
                    <a:blip r:embed="rId8"/>
                    <a:stretch>
                      <a:fillRect/>
                    </a:stretch>
                  </pic:blipFill>
                  <pic:spPr>
                    <a:xfrm>
                      <a:off x="0" y="0"/>
                      <a:ext cx="4228959" cy="1992038"/>
                    </a:xfrm>
                    <a:prstGeom prst="rect">
                      <a:avLst/>
                    </a:prstGeom>
                  </pic:spPr>
                </pic:pic>
              </a:graphicData>
            </a:graphic>
          </wp:inline>
        </w:drawing>
      </w:r>
    </w:p>
    <w:p w14:paraId="504C00D8" w14:textId="78EC29BB" w:rsidR="00236AAC" w:rsidRPr="00236AAC" w:rsidRDefault="00236AAC" w:rsidP="00236AAC">
      <w:pPr>
        <w:spacing w:after="0" w:line="480" w:lineRule="auto"/>
        <w:jc w:val="both"/>
        <w:rPr>
          <w:rFonts w:ascii="Times New Roman" w:eastAsia="Times New Roman" w:hAnsi="Times New Roman" w:cs="Times New Roman"/>
          <w:b/>
          <w:bCs/>
          <w:color w:val="000000" w:themeColor="text1"/>
          <w:kern w:val="0"/>
          <w14:ligatures w14:val="none"/>
        </w:rPr>
      </w:pPr>
      <w:r w:rsidRPr="00236AAC">
        <w:rPr>
          <w:rFonts w:ascii="Times New Roman" w:eastAsia="Times New Roman" w:hAnsi="Times New Roman" w:cs="Times New Roman"/>
          <w:b/>
          <w:bCs/>
          <w:color w:val="000000" w:themeColor="text1"/>
          <w:kern w:val="0"/>
          <w14:ligatures w14:val="none"/>
        </w:rPr>
        <w:t>Figure S</w:t>
      </w:r>
      <w:r>
        <w:rPr>
          <w:rFonts w:ascii="Times New Roman" w:eastAsia="Times New Roman" w:hAnsi="Times New Roman" w:cs="Times New Roman"/>
          <w:b/>
          <w:bCs/>
          <w:color w:val="000000" w:themeColor="text1"/>
          <w:kern w:val="0"/>
          <w14:ligatures w14:val="none"/>
        </w:rPr>
        <w:t>F</w:t>
      </w:r>
      <w:r w:rsidRPr="00236AAC">
        <w:rPr>
          <w:rFonts w:ascii="Times New Roman" w:eastAsia="Times New Roman" w:hAnsi="Times New Roman" w:cs="Times New Roman"/>
          <w:b/>
          <w:bCs/>
          <w:color w:val="000000" w:themeColor="text1"/>
          <w:kern w:val="0"/>
          <w14:ligatures w14:val="none"/>
        </w:rPr>
        <w:t>3: Western blot analysis depicting protein expression bands from control and USD patient samples.</w:t>
      </w:r>
    </w:p>
    <w:p w14:paraId="396BB279" w14:textId="77777777" w:rsidR="00236AAC" w:rsidRPr="00236AAC" w:rsidRDefault="00236AAC" w:rsidP="00236AAC">
      <w:pPr>
        <w:pStyle w:val="Heading1"/>
        <w:spacing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S1. </w:t>
      </w:r>
      <w:r w:rsidRPr="00236AAC">
        <w:rPr>
          <w:rFonts w:ascii="Times New Roman" w:hAnsi="Times New Roman" w:cs="Times New Roman"/>
          <w:b/>
          <w:bCs/>
          <w:color w:val="000000" w:themeColor="text1"/>
          <w:sz w:val="24"/>
          <w:szCs w:val="24"/>
        </w:rPr>
        <w:t>Materials and Reagents</w:t>
      </w:r>
    </w:p>
    <w:p w14:paraId="73AA9383" w14:textId="2DF9F151" w:rsidR="00236AAC" w:rsidRPr="00236AAC" w:rsidRDefault="00236AAC" w:rsidP="00236AAC">
      <w:pPr>
        <w:spacing w:line="480" w:lineRule="auto"/>
        <w:rPr>
          <w:rFonts w:ascii="Times New Roman" w:hAnsi="Times New Roman" w:cs="Times New Roman"/>
          <w:color w:val="000000" w:themeColor="text1"/>
        </w:rPr>
      </w:pPr>
      <w:r w:rsidRPr="00236AAC">
        <w:rPr>
          <w:rFonts w:ascii="Times New Roman" w:hAnsi="Times New Roman" w:cs="Times New Roman"/>
          <w:color w:val="000000" w:themeColor="text1"/>
        </w:rPr>
        <w:t>The V-PLEX Proinflammatory Panel 1 Human Kit and MSD Discovery Workbench Software (version 4.0 or current) were obtained from Meso Scale Diagnostics (Rockville, MD, USA); the RNeasy Plus Mini Kit was purchased from Qiagen (CA, USA). Atomic force microscopy (AFM) studies were conducted on a Multimode AFM equipped with a Nanoscope V controller and J scanner (Bruker, USA), using SNL-10 probes (nominal spring constant of 0.06 – 0.12 N/m, and tip radius of 12 nm). Primary antibodies included anti-vimentin monoclonal and anti-elastin from Abcam (CA, USA), anti-collagen type I from Sigma-Aldrich, and anti-TGF-β from R&amp;D Systems. Secondary antibodies were goat anti-mouse IgG (H+L) Alexa Fluor 488 or 555 conjugate and goat anti-rabbit IgG (H+L) Alexa Fluor 488 or 555 conjugate (Invitrogen; catalog numbers A-11008, A-21429). GraphPad Prism (version 9.0 or current; GraphPad Software, San Diego, CA, USA) was used for statistical analysis.</w:t>
      </w:r>
      <w:r w:rsidRPr="00236AAC">
        <w:rPr>
          <w:rFonts w:ascii="Times New Roman" w:hAnsi="Times New Roman" w:cs="Times New Roman"/>
        </w:rPr>
        <w:br/>
      </w:r>
      <w:r>
        <w:rPr>
          <w:rFonts w:ascii="Times New Roman" w:hAnsi="Times New Roman" w:cs="Times New Roman"/>
          <w:b/>
          <w:bCs/>
          <w:color w:val="000000" w:themeColor="text1"/>
        </w:rPr>
        <w:lastRenderedPageBreak/>
        <w:t xml:space="preserve">S2.  </w:t>
      </w:r>
      <w:r w:rsidRPr="00236AAC">
        <w:rPr>
          <w:rFonts w:ascii="Times New Roman" w:hAnsi="Times New Roman" w:cs="Times New Roman"/>
          <w:b/>
          <w:bCs/>
          <w:color w:val="000000" w:themeColor="text1"/>
        </w:rPr>
        <w:t>Detailed Methods</w:t>
      </w:r>
      <w:r w:rsidRPr="00236AAC">
        <w:rPr>
          <w:rFonts w:ascii="Times New Roman" w:hAnsi="Times New Roman" w:cs="Times New Roman"/>
          <w:color w:val="000000" w:themeColor="text1"/>
        </w:rPr>
        <w:br/>
      </w:r>
      <w:r w:rsidRPr="00236AAC">
        <w:rPr>
          <w:rFonts w:ascii="Times New Roman" w:hAnsi="Times New Roman" w:cs="Times New Roman"/>
          <w:b/>
          <w:bCs/>
          <w:color w:val="000000" w:themeColor="text1"/>
        </w:rPr>
        <w:t>S2.1 Patient sample collection:</w:t>
      </w:r>
      <w:r w:rsidRPr="00236AAC">
        <w:rPr>
          <w:rFonts w:ascii="Times New Roman" w:hAnsi="Times New Roman" w:cs="Times New Roman"/>
          <w:color w:val="000000" w:themeColor="text1"/>
        </w:rPr>
        <w:br/>
        <w:t>USD patients and non-stricture controls were recruited according to institutional inclusion and exclusion criteria. Urine samples were collected from all participants during routine clinical evaluation in sterile containers and stored at -80°C for subsequent cytokine analysis. All tissue samples were immediately placed in RNAlater (or appropriate preservation buffer) to maintain RNA integrity, then stored at -80°C until processing.</w:t>
      </w:r>
      <w:r w:rsidRPr="00236AAC">
        <w:rPr>
          <w:rFonts w:ascii="Times New Roman" w:hAnsi="Times New Roman" w:cs="Times New Roman"/>
          <w:color w:val="000000" w:themeColor="text1"/>
        </w:rPr>
        <w:br/>
        <w:t xml:space="preserve">For the cytokine analysis: </w:t>
      </w:r>
      <w:r w:rsidRPr="00236AAC">
        <w:rPr>
          <w:rFonts w:ascii="Times New Roman" w:hAnsi="Times New Roman" w:cs="Times New Roman"/>
        </w:rPr>
        <w:t xml:space="preserve">The clarified supernatant was carefully transferred to sterile tubes and stored at -80°C until assay. On the day of analysis, samples were thawed. No dilutions were made. </w:t>
      </w:r>
      <w:r w:rsidRPr="00236AAC">
        <w:rPr>
          <w:rFonts w:ascii="Times New Roman" w:hAnsi="Times New Roman" w:cs="Times New Roman"/>
        </w:rPr>
        <w:br/>
      </w:r>
      <w:r w:rsidRPr="00236AAC">
        <w:rPr>
          <w:rFonts w:ascii="Times New Roman" w:hAnsi="Times New Roman" w:cs="Times New Roman"/>
          <w:b/>
          <w:bCs/>
        </w:rPr>
        <w:t xml:space="preserve">S2.2 RNA Extraction and </w:t>
      </w:r>
      <w:r w:rsidR="00CA2BEC">
        <w:rPr>
          <w:rFonts w:ascii="Times New Roman" w:hAnsi="Times New Roman" w:cs="Times New Roman"/>
          <w:b/>
          <w:bCs/>
        </w:rPr>
        <w:t>S</w:t>
      </w:r>
      <w:r w:rsidRPr="00236AAC">
        <w:rPr>
          <w:rFonts w:ascii="Times New Roman" w:hAnsi="Times New Roman" w:cs="Times New Roman"/>
          <w:b/>
          <w:bCs/>
        </w:rPr>
        <w:t>equencing:</w:t>
      </w:r>
      <w:r w:rsidRPr="00236AAC">
        <w:rPr>
          <w:rFonts w:ascii="Times New Roman" w:hAnsi="Times New Roman" w:cs="Times New Roman"/>
        </w:rPr>
        <w:br/>
      </w:r>
      <w:r w:rsidRPr="00236AAC">
        <w:rPr>
          <w:rFonts w:ascii="Times New Roman" w:hAnsi="Times New Roman" w:cs="Times New Roman"/>
          <w:color w:val="000000" w:themeColor="text1"/>
        </w:rPr>
        <w:t xml:space="preserve">RNA quality was evaluated on an Agilent TapeStation 4200, selecting samples with RNA integrity number (RIN) &gt;8.0 for library construction via the Illumina Stranded mRNA Prep kit (Illumina, San Diego, CA). Libraries underwent multiplexing and paired-end sequencing at 150 bp read length (PE150), targeting ~25 million reads per sample on the Illumina NovaSeq X Plus. Demultiplexing employed bcl2fastq v2.20.0.422 (Illumina, San Diego, CA), with run parameters of PE100 for stranded mRNA at 30 million reads/sample. </w:t>
      </w:r>
      <w:r w:rsidRPr="00236AAC">
        <w:rPr>
          <w:rFonts w:ascii="Times New Roman" w:hAnsi="Times New Roman" w:cs="Times New Roman"/>
        </w:rPr>
        <w:t>Raw sequencing reads (FASTQ files) were analyzed using the QIAGEN Ingenuity Pathway Analysis (IPA) RNA-seq analysis portal to identify differentially expressed genes (DEGs). The resulting DEG lists were imported into the IPA software for downstream interpretation</w:t>
      </w:r>
      <w:r w:rsidR="00CA2BEC">
        <w:rPr>
          <w:rFonts w:ascii="Times New Roman" w:hAnsi="Times New Roman" w:cs="Times New Roman"/>
          <w:vertAlign w:val="superscript"/>
        </w:rPr>
        <w:t>1</w:t>
      </w:r>
      <w:r w:rsidRPr="00236AAC">
        <w:rPr>
          <w:rFonts w:ascii="Times New Roman" w:hAnsi="Times New Roman" w:cs="Times New Roman"/>
        </w:rPr>
        <w:t>. Upstream Regulator Analysis was subsequently applied to identify putative regulatory molecules and genes implicated in mechanotransduction pathways relevant to the pathogenesis of USD</w:t>
      </w:r>
      <w:r w:rsidR="00CA2BEC">
        <w:rPr>
          <w:rFonts w:ascii="Times New Roman" w:hAnsi="Times New Roman" w:cs="Times New Roman"/>
          <w:vertAlign w:val="superscript"/>
        </w:rPr>
        <w:t>2</w:t>
      </w:r>
      <w:r w:rsidRPr="00236AAC">
        <w:rPr>
          <w:rFonts w:ascii="Times New Roman" w:hAnsi="Times New Roman" w:cs="Times New Roman"/>
        </w:rPr>
        <w:t>.</w:t>
      </w:r>
      <w:r w:rsidRPr="00236AAC">
        <w:rPr>
          <w:rFonts w:ascii="Times New Roman" w:hAnsi="Times New Roman" w:cs="Times New Roman"/>
        </w:rPr>
        <w:br/>
      </w:r>
      <w:r>
        <w:rPr>
          <w:rFonts w:ascii="Times New Roman" w:hAnsi="Times New Roman" w:cs="Times New Roman"/>
          <w:b/>
          <w:bCs/>
        </w:rPr>
        <w:t>S2.3</w:t>
      </w:r>
      <w:r w:rsidRPr="00236AAC">
        <w:rPr>
          <w:rFonts w:ascii="Times New Roman" w:hAnsi="Times New Roman" w:cs="Times New Roman"/>
          <w:b/>
          <w:bCs/>
        </w:rPr>
        <w:t xml:space="preserve"> Immunohistochemistry and Immunofluorescence Staining</w:t>
      </w:r>
    </w:p>
    <w:p w14:paraId="71E9F456" w14:textId="1D689A77" w:rsidR="00236AAC" w:rsidRPr="00236AAC" w:rsidRDefault="00236AAC" w:rsidP="00236AAC">
      <w:pPr>
        <w:spacing w:line="480" w:lineRule="auto"/>
        <w:jc w:val="both"/>
        <w:rPr>
          <w:rFonts w:ascii="Times New Roman" w:hAnsi="Times New Roman" w:cs="Times New Roman"/>
        </w:rPr>
      </w:pPr>
      <w:r w:rsidRPr="00236AAC">
        <w:rPr>
          <w:rFonts w:ascii="Times New Roman" w:hAnsi="Times New Roman" w:cs="Times New Roman"/>
        </w:rPr>
        <w:lastRenderedPageBreak/>
        <w:t>Urethral tissue sections (5-10 μm) were cryosectioned and immediately fixed with 4% paraformaldehyde. They were then treated with 0.25% Triton-X to facilitate permeabilization. 5 % Bovine serum albumin was used to block non-specific binding sites, and tissues were then incubated with specific primary mouse monoclonal antibodies (anti-collagen type 1/ TGF-</w:t>
      </w:r>
      <w:r w:rsidR="001B673D" w:rsidRPr="001B673D">
        <w:rPr>
          <w:rFonts w:ascii="Times New Roman" w:hAnsi="Times New Roman" w:cs="Times New Roman"/>
        </w:rPr>
        <w:t xml:space="preserve"> </w:t>
      </w:r>
      <w:r w:rsidR="001B673D" w:rsidRPr="00236AAC">
        <w:rPr>
          <w:rFonts w:ascii="Times New Roman" w:hAnsi="Times New Roman" w:cs="Times New Roman"/>
        </w:rPr>
        <w:t>β</w:t>
      </w:r>
      <w:r w:rsidRPr="00236AAC">
        <w:rPr>
          <w:rFonts w:ascii="Times New Roman" w:hAnsi="Times New Roman" w:cs="Times New Roman"/>
        </w:rPr>
        <w:t>/ elastin/vimentin  (1:500) for 2.5 hr. This was followed by fluorescent labeling with FITC-tagged anti-mouse/Texas Red-tagged secondary antibodies for another 90 min and then with nuclear stain DAPI for 15 min. The samples were imaged using a Keyence automated microscope at excitation/emission wavelengths of 420/520 nm for collagen type I and elastin, 544/590 nm for vimentin and TGF</w:t>
      </w:r>
      <w:r w:rsidR="001B673D">
        <w:rPr>
          <w:rFonts w:ascii="Times New Roman" w:hAnsi="Times New Roman" w:cs="Times New Roman"/>
        </w:rPr>
        <w:t>-</w:t>
      </w:r>
      <w:r w:rsidR="001B673D" w:rsidRPr="001B673D">
        <w:rPr>
          <w:rFonts w:ascii="Times New Roman" w:hAnsi="Times New Roman" w:cs="Times New Roman"/>
        </w:rPr>
        <w:t xml:space="preserve"> </w:t>
      </w:r>
      <w:r w:rsidR="001B673D" w:rsidRPr="00236AAC">
        <w:rPr>
          <w:rFonts w:ascii="Times New Roman" w:hAnsi="Times New Roman" w:cs="Times New Roman"/>
        </w:rPr>
        <w:t>β</w:t>
      </w:r>
      <w:r w:rsidRPr="00236AAC">
        <w:rPr>
          <w:rFonts w:ascii="Times New Roman" w:hAnsi="Times New Roman" w:cs="Times New Roman"/>
        </w:rPr>
        <w:t>, and 350/460 nm for DAPI. Histochemical staining (Verhoeff staining for elastin, Sirius Red staining for collagen) was also performed following established protocols.</w:t>
      </w:r>
    </w:p>
    <w:p w14:paraId="374F68BA" w14:textId="77777777" w:rsidR="00236AAC" w:rsidRPr="00236AAC" w:rsidRDefault="00236AAC" w:rsidP="00236AAC">
      <w:pPr>
        <w:spacing w:line="480" w:lineRule="auto"/>
        <w:jc w:val="both"/>
        <w:rPr>
          <w:rFonts w:ascii="Times New Roman" w:hAnsi="Times New Roman" w:cs="Times New Roman"/>
          <w:b/>
          <w:bCs/>
        </w:rPr>
      </w:pPr>
      <w:r w:rsidRPr="00236AAC">
        <w:rPr>
          <w:rFonts w:ascii="Times New Roman" w:hAnsi="Times New Roman" w:cs="Times New Roman"/>
          <w:b/>
          <w:bCs/>
        </w:rPr>
        <w:t>S2.4 Western Blot Analysis</w:t>
      </w:r>
    </w:p>
    <w:p w14:paraId="7C71672E" w14:textId="77777777" w:rsidR="00236AAC" w:rsidRPr="00236AAC" w:rsidRDefault="00236AAC" w:rsidP="00236AAC">
      <w:pPr>
        <w:spacing w:line="480" w:lineRule="auto"/>
        <w:jc w:val="both"/>
        <w:rPr>
          <w:rFonts w:ascii="Times New Roman" w:hAnsi="Times New Roman" w:cs="Times New Roman"/>
        </w:rPr>
      </w:pPr>
      <w:r w:rsidRPr="00236AAC">
        <w:rPr>
          <w:rFonts w:ascii="Times New Roman" w:hAnsi="Times New Roman" w:cs="Times New Roman"/>
        </w:rPr>
        <w:t>Total protein was extracted using RIPA lysis buffer containing protease and phosphatase inhibitors and protein concentration was determined using Bradford assay. Equal amounts of protein (typically 20-50 μg) from each sample were separated by sodium dodecyl sulfate-polyacrylamide gel electrophoresis (SDS-PAGE) on 8-12% gels and transferred to polyvinylidene difluoride (PVDF) membranes. Membranes were blocked with 5% non-fat milk or bovine serum albumin in Tris-buffered saline with Tween-20 (TBST), then incubated with primary antibodies against target proteins (p-SMAD2/3, TGF-β, COL1A1, and appropriate loading control such as GAPDH) overnight at 4°C. Secondary antibodies conjugated to horseradish peroxidase were applied, and protein bands were visualized using chemiluminescent detection. Comparative analysis was performed between USD and control samples, and statistical significance was assessed using appropriate statistical tests.</w:t>
      </w:r>
    </w:p>
    <w:p w14:paraId="22570157" w14:textId="203F7D81" w:rsidR="00CA2BEC" w:rsidRPr="00454D29" w:rsidRDefault="00CA2BEC" w:rsidP="00CA2BEC">
      <w:pPr>
        <w:pStyle w:val="Bibliography"/>
        <w:spacing w:line="480" w:lineRule="auto"/>
        <w:rPr>
          <w:rFonts w:ascii="Times New Roman" w:hAnsi="Times New Roman" w:cs="Times New Roman"/>
          <w:color w:val="000000"/>
        </w:rPr>
      </w:pPr>
      <w:r>
        <w:rPr>
          <w:rFonts w:ascii="Times New Roman" w:hAnsi="Times New Roman" w:cs="Times New Roman"/>
          <w:b/>
          <w:bCs/>
        </w:rPr>
        <w:lastRenderedPageBreak/>
        <w:t>References</w:t>
      </w:r>
      <w:r>
        <w:rPr>
          <w:rFonts w:ascii="Times New Roman" w:hAnsi="Times New Roman" w:cs="Times New Roman"/>
          <w:b/>
          <w:bCs/>
        </w:rPr>
        <w:br/>
      </w:r>
      <w:r>
        <w:rPr>
          <w:rFonts w:ascii="Times New Roman" w:hAnsi="Times New Roman" w:cs="Times New Roman"/>
          <w:color w:val="000000"/>
        </w:rPr>
        <w:t xml:space="preserve">1. </w:t>
      </w:r>
      <w:r w:rsidRPr="00454D29">
        <w:rPr>
          <w:rFonts w:ascii="Times New Roman" w:hAnsi="Times New Roman" w:cs="Times New Roman"/>
          <w:color w:val="000000"/>
        </w:rPr>
        <w:t xml:space="preserve">Meecham A, McCurdy S, Frias-Anaya E, et al. Silencing KRIT1 Partially Reverses the Effects of Disturbed Flow on the Endothelial Cell Transcriptome. </w:t>
      </w:r>
      <w:r w:rsidRPr="00454D29">
        <w:rPr>
          <w:rFonts w:ascii="Times New Roman" w:hAnsi="Times New Roman" w:cs="Times New Roman"/>
          <w:i/>
          <w:iCs/>
          <w:color w:val="000000"/>
        </w:rPr>
        <w:t>bioRxiv</w:t>
      </w:r>
      <w:r w:rsidRPr="00454D29">
        <w:rPr>
          <w:rFonts w:ascii="Times New Roman" w:hAnsi="Times New Roman" w:cs="Times New Roman"/>
          <w:color w:val="000000"/>
        </w:rPr>
        <w:t>. Published online March 14, 2025:2025.03.12.642862. doi:10.1101/2025.03.12.642862</w:t>
      </w:r>
    </w:p>
    <w:p w14:paraId="7EDB2B76" w14:textId="70699019" w:rsidR="00CA2BEC" w:rsidRPr="00454D29" w:rsidRDefault="00CA2BEC" w:rsidP="00CA2BEC">
      <w:pPr>
        <w:pStyle w:val="Bibliography"/>
        <w:spacing w:line="480" w:lineRule="auto"/>
        <w:rPr>
          <w:rFonts w:ascii="Times New Roman" w:hAnsi="Times New Roman" w:cs="Times New Roman"/>
          <w:color w:val="000000"/>
        </w:rPr>
      </w:pPr>
      <w:r>
        <w:rPr>
          <w:rFonts w:ascii="Times New Roman" w:hAnsi="Times New Roman" w:cs="Times New Roman"/>
          <w:color w:val="000000"/>
        </w:rPr>
        <w:t xml:space="preserve">2. </w:t>
      </w:r>
      <w:r w:rsidRPr="00454D29">
        <w:rPr>
          <w:rFonts w:ascii="Times New Roman" w:hAnsi="Times New Roman" w:cs="Times New Roman"/>
          <w:color w:val="000000"/>
        </w:rPr>
        <w:t xml:space="preserve">Payne SR, Anderson P, Spasojević N, Demilow TL, Teferi G, Dickerson D. Male urethral stricture disease: why management guidelines are challenging in low-income countries. </w:t>
      </w:r>
      <w:r w:rsidRPr="00454D29">
        <w:rPr>
          <w:rFonts w:ascii="Times New Roman" w:hAnsi="Times New Roman" w:cs="Times New Roman"/>
          <w:i/>
          <w:iCs/>
          <w:color w:val="000000"/>
        </w:rPr>
        <w:t>BJU Int</w:t>
      </w:r>
      <w:r w:rsidRPr="00454D29">
        <w:rPr>
          <w:rFonts w:ascii="Times New Roman" w:hAnsi="Times New Roman" w:cs="Times New Roman"/>
          <w:color w:val="000000"/>
        </w:rPr>
        <w:t>. 2022;130(2):157-165. doi:10.1111/bju.15831</w:t>
      </w:r>
    </w:p>
    <w:p w14:paraId="48B12E5A" w14:textId="391F4B4C" w:rsidR="00236AAC" w:rsidRPr="00CA2BEC" w:rsidRDefault="00236AAC" w:rsidP="00236AAC">
      <w:pPr>
        <w:spacing w:line="480" w:lineRule="auto"/>
        <w:jc w:val="both"/>
        <w:rPr>
          <w:rFonts w:ascii="Times New Roman" w:hAnsi="Times New Roman" w:cs="Times New Roman"/>
          <w:b/>
          <w:bCs/>
        </w:rPr>
      </w:pPr>
    </w:p>
    <w:sectPr w:rsidR="00236AAC" w:rsidRPr="00CA2BEC" w:rsidSect="00236AAC">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D258BB"/>
    <w:multiLevelType w:val="hybridMultilevel"/>
    <w:tmpl w:val="8F74E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1967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57"/>
    <w:rsid w:val="00007448"/>
    <w:rsid w:val="00011886"/>
    <w:rsid w:val="00012156"/>
    <w:rsid w:val="00012EAA"/>
    <w:rsid w:val="00017BCD"/>
    <w:rsid w:val="0002083F"/>
    <w:rsid w:val="0004158C"/>
    <w:rsid w:val="000417BB"/>
    <w:rsid w:val="000732B5"/>
    <w:rsid w:val="00075842"/>
    <w:rsid w:val="000776F7"/>
    <w:rsid w:val="00077FD5"/>
    <w:rsid w:val="00086652"/>
    <w:rsid w:val="00087545"/>
    <w:rsid w:val="00090F07"/>
    <w:rsid w:val="00094C1C"/>
    <w:rsid w:val="000968B6"/>
    <w:rsid w:val="000A3456"/>
    <w:rsid w:val="000B2D63"/>
    <w:rsid w:val="000B554A"/>
    <w:rsid w:val="000C751A"/>
    <w:rsid w:val="000E6359"/>
    <w:rsid w:val="000E723B"/>
    <w:rsid w:val="000F3046"/>
    <w:rsid w:val="000F4857"/>
    <w:rsid w:val="000F745B"/>
    <w:rsid w:val="001047C9"/>
    <w:rsid w:val="0013092F"/>
    <w:rsid w:val="00137F27"/>
    <w:rsid w:val="001429F4"/>
    <w:rsid w:val="001433B9"/>
    <w:rsid w:val="00145966"/>
    <w:rsid w:val="001479A3"/>
    <w:rsid w:val="00162BFE"/>
    <w:rsid w:val="00165566"/>
    <w:rsid w:val="001656BE"/>
    <w:rsid w:val="00170AAD"/>
    <w:rsid w:val="0018113B"/>
    <w:rsid w:val="0018160A"/>
    <w:rsid w:val="00181D9A"/>
    <w:rsid w:val="001832C1"/>
    <w:rsid w:val="00184FD0"/>
    <w:rsid w:val="00193775"/>
    <w:rsid w:val="001944BD"/>
    <w:rsid w:val="001A26CA"/>
    <w:rsid w:val="001A624C"/>
    <w:rsid w:val="001B1E15"/>
    <w:rsid w:val="001B5467"/>
    <w:rsid w:val="001B673D"/>
    <w:rsid w:val="001B6BE4"/>
    <w:rsid w:val="001C5990"/>
    <w:rsid w:val="001C5B9A"/>
    <w:rsid w:val="001D05F8"/>
    <w:rsid w:val="001D0972"/>
    <w:rsid w:val="001E0EA7"/>
    <w:rsid w:val="001F15B9"/>
    <w:rsid w:val="001F326A"/>
    <w:rsid w:val="001F3D5E"/>
    <w:rsid w:val="00202BE6"/>
    <w:rsid w:val="002119A9"/>
    <w:rsid w:val="00214689"/>
    <w:rsid w:val="00222518"/>
    <w:rsid w:val="002267FC"/>
    <w:rsid w:val="002279FB"/>
    <w:rsid w:val="00231CF6"/>
    <w:rsid w:val="00234E93"/>
    <w:rsid w:val="00234EEF"/>
    <w:rsid w:val="00236AAC"/>
    <w:rsid w:val="002377B7"/>
    <w:rsid w:val="002460C5"/>
    <w:rsid w:val="00256FA1"/>
    <w:rsid w:val="00264560"/>
    <w:rsid w:val="00264C4F"/>
    <w:rsid w:val="00264D82"/>
    <w:rsid w:val="00284CF4"/>
    <w:rsid w:val="002A36BB"/>
    <w:rsid w:val="002A5B03"/>
    <w:rsid w:val="002B79F4"/>
    <w:rsid w:val="002C42D3"/>
    <w:rsid w:val="002C75D3"/>
    <w:rsid w:val="002D1619"/>
    <w:rsid w:val="002E2DEF"/>
    <w:rsid w:val="002E5887"/>
    <w:rsid w:val="002E6F87"/>
    <w:rsid w:val="002F01E7"/>
    <w:rsid w:val="002F18E3"/>
    <w:rsid w:val="003016FA"/>
    <w:rsid w:val="0030510E"/>
    <w:rsid w:val="00305AE7"/>
    <w:rsid w:val="0030613E"/>
    <w:rsid w:val="00306C57"/>
    <w:rsid w:val="003071A3"/>
    <w:rsid w:val="003130AC"/>
    <w:rsid w:val="003255A1"/>
    <w:rsid w:val="003300F7"/>
    <w:rsid w:val="00332942"/>
    <w:rsid w:val="00335CC9"/>
    <w:rsid w:val="00352910"/>
    <w:rsid w:val="00357BD8"/>
    <w:rsid w:val="00360178"/>
    <w:rsid w:val="00375CE6"/>
    <w:rsid w:val="0037668F"/>
    <w:rsid w:val="0038052F"/>
    <w:rsid w:val="00380DA6"/>
    <w:rsid w:val="00391E3C"/>
    <w:rsid w:val="003A1829"/>
    <w:rsid w:val="003A69C1"/>
    <w:rsid w:val="003B10E0"/>
    <w:rsid w:val="003B368E"/>
    <w:rsid w:val="003B64CF"/>
    <w:rsid w:val="003B7483"/>
    <w:rsid w:val="003D48FA"/>
    <w:rsid w:val="003E031F"/>
    <w:rsid w:val="003F6488"/>
    <w:rsid w:val="00406800"/>
    <w:rsid w:val="00410A4B"/>
    <w:rsid w:val="00411EAF"/>
    <w:rsid w:val="004127D7"/>
    <w:rsid w:val="004175D0"/>
    <w:rsid w:val="004264C6"/>
    <w:rsid w:val="00431325"/>
    <w:rsid w:val="004560D7"/>
    <w:rsid w:val="004560D9"/>
    <w:rsid w:val="00461EC0"/>
    <w:rsid w:val="00467E89"/>
    <w:rsid w:val="00470439"/>
    <w:rsid w:val="00481FC5"/>
    <w:rsid w:val="00482CD9"/>
    <w:rsid w:val="00482F25"/>
    <w:rsid w:val="0048350D"/>
    <w:rsid w:val="00490B05"/>
    <w:rsid w:val="00495D65"/>
    <w:rsid w:val="00496151"/>
    <w:rsid w:val="004B4939"/>
    <w:rsid w:val="004B74B7"/>
    <w:rsid w:val="004C7C00"/>
    <w:rsid w:val="004D03B6"/>
    <w:rsid w:val="004D52EF"/>
    <w:rsid w:val="004D6330"/>
    <w:rsid w:val="004E7ADF"/>
    <w:rsid w:val="004F44E2"/>
    <w:rsid w:val="004F4C86"/>
    <w:rsid w:val="004F5D78"/>
    <w:rsid w:val="00504BDE"/>
    <w:rsid w:val="00505040"/>
    <w:rsid w:val="00505DFA"/>
    <w:rsid w:val="00522359"/>
    <w:rsid w:val="00523436"/>
    <w:rsid w:val="00523B85"/>
    <w:rsid w:val="0052437D"/>
    <w:rsid w:val="005277A4"/>
    <w:rsid w:val="00527AD7"/>
    <w:rsid w:val="00533C4A"/>
    <w:rsid w:val="00535349"/>
    <w:rsid w:val="00547105"/>
    <w:rsid w:val="005671A1"/>
    <w:rsid w:val="00573422"/>
    <w:rsid w:val="0057567E"/>
    <w:rsid w:val="00592364"/>
    <w:rsid w:val="00595442"/>
    <w:rsid w:val="0059676D"/>
    <w:rsid w:val="005A7694"/>
    <w:rsid w:val="005C1A2F"/>
    <w:rsid w:val="005C2C66"/>
    <w:rsid w:val="005D4BB7"/>
    <w:rsid w:val="005E4AF5"/>
    <w:rsid w:val="005E4E54"/>
    <w:rsid w:val="005F3E53"/>
    <w:rsid w:val="005F75FA"/>
    <w:rsid w:val="00624007"/>
    <w:rsid w:val="006500AF"/>
    <w:rsid w:val="00652ECB"/>
    <w:rsid w:val="00653E94"/>
    <w:rsid w:val="00661C22"/>
    <w:rsid w:val="00691A96"/>
    <w:rsid w:val="006974CB"/>
    <w:rsid w:val="006A3444"/>
    <w:rsid w:val="006B0E62"/>
    <w:rsid w:val="006B50A2"/>
    <w:rsid w:val="006C73FF"/>
    <w:rsid w:val="006E30A4"/>
    <w:rsid w:val="006F29B7"/>
    <w:rsid w:val="006F41A3"/>
    <w:rsid w:val="006F5E25"/>
    <w:rsid w:val="006F7242"/>
    <w:rsid w:val="00705DBC"/>
    <w:rsid w:val="007104AB"/>
    <w:rsid w:val="007239F3"/>
    <w:rsid w:val="007256F0"/>
    <w:rsid w:val="007261E2"/>
    <w:rsid w:val="00730A21"/>
    <w:rsid w:val="00734797"/>
    <w:rsid w:val="00734AF0"/>
    <w:rsid w:val="00745EEE"/>
    <w:rsid w:val="007479FF"/>
    <w:rsid w:val="00752CE7"/>
    <w:rsid w:val="00771F6F"/>
    <w:rsid w:val="00773A8E"/>
    <w:rsid w:val="007845EF"/>
    <w:rsid w:val="00790DE7"/>
    <w:rsid w:val="007920DD"/>
    <w:rsid w:val="0079534C"/>
    <w:rsid w:val="00796EC2"/>
    <w:rsid w:val="007D438C"/>
    <w:rsid w:val="007E36CF"/>
    <w:rsid w:val="007E5119"/>
    <w:rsid w:val="007E74CA"/>
    <w:rsid w:val="007E750E"/>
    <w:rsid w:val="007F15E4"/>
    <w:rsid w:val="007F4852"/>
    <w:rsid w:val="007F7404"/>
    <w:rsid w:val="00800A90"/>
    <w:rsid w:val="00800D8E"/>
    <w:rsid w:val="008109DE"/>
    <w:rsid w:val="008176A3"/>
    <w:rsid w:val="00821D1A"/>
    <w:rsid w:val="0082746D"/>
    <w:rsid w:val="00832D97"/>
    <w:rsid w:val="008334BE"/>
    <w:rsid w:val="00834588"/>
    <w:rsid w:val="008417D6"/>
    <w:rsid w:val="008461A0"/>
    <w:rsid w:val="008469A0"/>
    <w:rsid w:val="00847A7A"/>
    <w:rsid w:val="00850FEA"/>
    <w:rsid w:val="008525C3"/>
    <w:rsid w:val="0086018B"/>
    <w:rsid w:val="00861BFE"/>
    <w:rsid w:val="00865A45"/>
    <w:rsid w:val="0087603A"/>
    <w:rsid w:val="00880240"/>
    <w:rsid w:val="00884790"/>
    <w:rsid w:val="00893BD0"/>
    <w:rsid w:val="0089590B"/>
    <w:rsid w:val="00895A29"/>
    <w:rsid w:val="008A28C6"/>
    <w:rsid w:val="008A2FBE"/>
    <w:rsid w:val="008A5BEC"/>
    <w:rsid w:val="008B37E2"/>
    <w:rsid w:val="008C3BE7"/>
    <w:rsid w:val="008D11D3"/>
    <w:rsid w:val="008D340C"/>
    <w:rsid w:val="008D3A72"/>
    <w:rsid w:val="008F483B"/>
    <w:rsid w:val="008F5927"/>
    <w:rsid w:val="00906A0B"/>
    <w:rsid w:val="00906EBF"/>
    <w:rsid w:val="009114E1"/>
    <w:rsid w:val="00927767"/>
    <w:rsid w:val="00937000"/>
    <w:rsid w:val="00944B6F"/>
    <w:rsid w:val="009631F2"/>
    <w:rsid w:val="0096713D"/>
    <w:rsid w:val="00967811"/>
    <w:rsid w:val="00983C76"/>
    <w:rsid w:val="00995CAA"/>
    <w:rsid w:val="009965A0"/>
    <w:rsid w:val="00996961"/>
    <w:rsid w:val="009A2C4A"/>
    <w:rsid w:val="009C72BB"/>
    <w:rsid w:val="009C77CA"/>
    <w:rsid w:val="009D76D8"/>
    <w:rsid w:val="009E27EE"/>
    <w:rsid w:val="009E42B0"/>
    <w:rsid w:val="009E5CEC"/>
    <w:rsid w:val="009F0C53"/>
    <w:rsid w:val="009F418E"/>
    <w:rsid w:val="009F4CB4"/>
    <w:rsid w:val="009F714E"/>
    <w:rsid w:val="009F7CF7"/>
    <w:rsid w:val="00A02EF0"/>
    <w:rsid w:val="00A03FFF"/>
    <w:rsid w:val="00A048D7"/>
    <w:rsid w:val="00A1094E"/>
    <w:rsid w:val="00A129EE"/>
    <w:rsid w:val="00A27B9D"/>
    <w:rsid w:val="00A34DCC"/>
    <w:rsid w:val="00A4385D"/>
    <w:rsid w:val="00A622BC"/>
    <w:rsid w:val="00A71B5A"/>
    <w:rsid w:val="00A833D3"/>
    <w:rsid w:val="00AA1A4E"/>
    <w:rsid w:val="00AA2702"/>
    <w:rsid w:val="00AA4FFB"/>
    <w:rsid w:val="00AA5D0F"/>
    <w:rsid w:val="00AB22F9"/>
    <w:rsid w:val="00AB37E2"/>
    <w:rsid w:val="00AB664E"/>
    <w:rsid w:val="00AD1B15"/>
    <w:rsid w:val="00AE5CDA"/>
    <w:rsid w:val="00AF00C5"/>
    <w:rsid w:val="00AF4D63"/>
    <w:rsid w:val="00AF7A27"/>
    <w:rsid w:val="00B03C1C"/>
    <w:rsid w:val="00B055FD"/>
    <w:rsid w:val="00B10D09"/>
    <w:rsid w:val="00B1285B"/>
    <w:rsid w:val="00B14118"/>
    <w:rsid w:val="00B23654"/>
    <w:rsid w:val="00B23E3C"/>
    <w:rsid w:val="00B24027"/>
    <w:rsid w:val="00B25E6A"/>
    <w:rsid w:val="00B2670F"/>
    <w:rsid w:val="00B30170"/>
    <w:rsid w:val="00B30A0C"/>
    <w:rsid w:val="00B30BFA"/>
    <w:rsid w:val="00B40CB3"/>
    <w:rsid w:val="00B41E34"/>
    <w:rsid w:val="00B42DB7"/>
    <w:rsid w:val="00B433B2"/>
    <w:rsid w:val="00B52549"/>
    <w:rsid w:val="00B55E32"/>
    <w:rsid w:val="00B63866"/>
    <w:rsid w:val="00B66D55"/>
    <w:rsid w:val="00B67B93"/>
    <w:rsid w:val="00B7081B"/>
    <w:rsid w:val="00B71200"/>
    <w:rsid w:val="00B72EA9"/>
    <w:rsid w:val="00B730C1"/>
    <w:rsid w:val="00B83199"/>
    <w:rsid w:val="00B83E7E"/>
    <w:rsid w:val="00B8676F"/>
    <w:rsid w:val="00B87AEC"/>
    <w:rsid w:val="00B9061C"/>
    <w:rsid w:val="00BA62C0"/>
    <w:rsid w:val="00BB0B3D"/>
    <w:rsid w:val="00BB6991"/>
    <w:rsid w:val="00BC08F7"/>
    <w:rsid w:val="00BC1F57"/>
    <w:rsid w:val="00BC730B"/>
    <w:rsid w:val="00BE0695"/>
    <w:rsid w:val="00BE23FF"/>
    <w:rsid w:val="00BF1D43"/>
    <w:rsid w:val="00C014D1"/>
    <w:rsid w:val="00C01C05"/>
    <w:rsid w:val="00C11901"/>
    <w:rsid w:val="00C23576"/>
    <w:rsid w:val="00C42629"/>
    <w:rsid w:val="00C521FE"/>
    <w:rsid w:val="00C64DEA"/>
    <w:rsid w:val="00C8047B"/>
    <w:rsid w:val="00C85EBD"/>
    <w:rsid w:val="00C942EC"/>
    <w:rsid w:val="00CA2BEC"/>
    <w:rsid w:val="00CA648E"/>
    <w:rsid w:val="00CB55D6"/>
    <w:rsid w:val="00CC1487"/>
    <w:rsid w:val="00CC73DB"/>
    <w:rsid w:val="00CD626E"/>
    <w:rsid w:val="00CE0DD3"/>
    <w:rsid w:val="00CE5263"/>
    <w:rsid w:val="00CF309C"/>
    <w:rsid w:val="00CF3673"/>
    <w:rsid w:val="00CF68B2"/>
    <w:rsid w:val="00CF7DB5"/>
    <w:rsid w:val="00D00515"/>
    <w:rsid w:val="00D157C9"/>
    <w:rsid w:val="00D21BDD"/>
    <w:rsid w:val="00D2678A"/>
    <w:rsid w:val="00D26876"/>
    <w:rsid w:val="00D2745E"/>
    <w:rsid w:val="00D356CE"/>
    <w:rsid w:val="00D37C0B"/>
    <w:rsid w:val="00D417CF"/>
    <w:rsid w:val="00D51B57"/>
    <w:rsid w:val="00D54B85"/>
    <w:rsid w:val="00D559AB"/>
    <w:rsid w:val="00D67412"/>
    <w:rsid w:val="00D71344"/>
    <w:rsid w:val="00D76157"/>
    <w:rsid w:val="00D818D4"/>
    <w:rsid w:val="00D85003"/>
    <w:rsid w:val="00D86066"/>
    <w:rsid w:val="00D86CE3"/>
    <w:rsid w:val="00D915E1"/>
    <w:rsid w:val="00D95693"/>
    <w:rsid w:val="00D976FA"/>
    <w:rsid w:val="00DA0AB6"/>
    <w:rsid w:val="00DB2B22"/>
    <w:rsid w:val="00DB2D16"/>
    <w:rsid w:val="00DC0DFB"/>
    <w:rsid w:val="00DC3C6E"/>
    <w:rsid w:val="00DC63A8"/>
    <w:rsid w:val="00DD0430"/>
    <w:rsid w:val="00DD0BB3"/>
    <w:rsid w:val="00DD11F7"/>
    <w:rsid w:val="00DD14D4"/>
    <w:rsid w:val="00DE0F17"/>
    <w:rsid w:val="00DE1552"/>
    <w:rsid w:val="00DE1C19"/>
    <w:rsid w:val="00DE31FF"/>
    <w:rsid w:val="00E06DE2"/>
    <w:rsid w:val="00E14E2E"/>
    <w:rsid w:val="00E20AD1"/>
    <w:rsid w:val="00E2439D"/>
    <w:rsid w:val="00E32973"/>
    <w:rsid w:val="00E3312D"/>
    <w:rsid w:val="00E43DB1"/>
    <w:rsid w:val="00E44C68"/>
    <w:rsid w:val="00E6590B"/>
    <w:rsid w:val="00E9228F"/>
    <w:rsid w:val="00E949D4"/>
    <w:rsid w:val="00EA020B"/>
    <w:rsid w:val="00EA6E71"/>
    <w:rsid w:val="00EC6769"/>
    <w:rsid w:val="00ED442B"/>
    <w:rsid w:val="00ED49A1"/>
    <w:rsid w:val="00EE2829"/>
    <w:rsid w:val="00EE5D2D"/>
    <w:rsid w:val="00EF0612"/>
    <w:rsid w:val="00EF53EF"/>
    <w:rsid w:val="00EF6108"/>
    <w:rsid w:val="00F02038"/>
    <w:rsid w:val="00F13479"/>
    <w:rsid w:val="00F13DA4"/>
    <w:rsid w:val="00F166D8"/>
    <w:rsid w:val="00F25258"/>
    <w:rsid w:val="00F26049"/>
    <w:rsid w:val="00F27971"/>
    <w:rsid w:val="00F54550"/>
    <w:rsid w:val="00F547AE"/>
    <w:rsid w:val="00F60B6D"/>
    <w:rsid w:val="00F72357"/>
    <w:rsid w:val="00F72489"/>
    <w:rsid w:val="00F72B3E"/>
    <w:rsid w:val="00F812B7"/>
    <w:rsid w:val="00F91729"/>
    <w:rsid w:val="00F96EB7"/>
    <w:rsid w:val="00FA2672"/>
    <w:rsid w:val="00FA397D"/>
    <w:rsid w:val="00FA4CF3"/>
    <w:rsid w:val="00FA582B"/>
    <w:rsid w:val="00FB1FA9"/>
    <w:rsid w:val="00FB2DEF"/>
    <w:rsid w:val="00FC4960"/>
    <w:rsid w:val="00FE169E"/>
    <w:rsid w:val="00FE2554"/>
    <w:rsid w:val="00FE4CFA"/>
    <w:rsid w:val="00FE4F43"/>
    <w:rsid w:val="00FE5A7D"/>
    <w:rsid w:val="00FF30A8"/>
    <w:rsid w:val="00FF7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DFFFE"/>
  <w15:chartTrackingRefBased/>
  <w15:docId w15:val="{D5446CDA-2FC0-DC41-9D76-A5325257A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157"/>
  </w:style>
  <w:style w:type="paragraph" w:styleId="Heading1">
    <w:name w:val="heading 1"/>
    <w:basedOn w:val="Normal"/>
    <w:next w:val="Normal"/>
    <w:link w:val="Heading1Char"/>
    <w:uiPriority w:val="9"/>
    <w:qFormat/>
    <w:rsid w:val="00D761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1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1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1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1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1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1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1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1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1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1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1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1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1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1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1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1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157"/>
    <w:rPr>
      <w:rFonts w:eastAsiaTheme="majorEastAsia" w:cstheme="majorBidi"/>
      <w:color w:val="272727" w:themeColor="text1" w:themeTint="D8"/>
    </w:rPr>
  </w:style>
  <w:style w:type="paragraph" w:styleId="Title">
    <w:name w:val="Title"/>
    <w:basedOn w:val="Normal"/>
    <w:next w:val="Normal"/>
    <w:link w:val="TitleChar"/>
    <w:uiPriority w:val="10"/>
    <w:qFormat/>
    <w:rsid w:val="00D761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1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1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1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157"/>
    <w:pPr>
      <w:spacing w:before="160"/>
      <w:jc w:val="center"/>
    </w:pPr>
    <w:rPr>
      <w:i/>
      <w:iCs/>
      <w:color w:val="404040" w:themeColor="text1" w:themeTint="BF"/>
    </w:rPr>
  </w:style>
  <w:style w:type="character" w:customStyle="1" w:styleId="QuoteChar">
    <w:name w:val="Quote Char"/>
    <w:basedOn w:val="DefaultParagraphFont"/>
    <w:link w:val="Quote"/>
    <w:uiPriority w:val="29"/>
    <w:rsid w:val="00D76157"/>
    <w:rPr>
      <w:i/>
      <w:iCs/>
      <w:color w:val="404040" w:themeColor="text1" w:themeTint="BF"/>
    </w:rPr>
  </w:style>
  <w:style w:type="paragraph" w:styleId="ListParagraph">
    <w:name w:val="List Paragraph"/>
    <w:basedOn w:val="Normal"/>
    <w:uiPriority w:val="34"/>
    <w:qFormat/>
    <w:rsid w:val="00D76157"/>
    <w:pPr>
      <w:ind w:left="720"/>
      <w:contextualSpacing/>
    </w:pPr>
  </w:style>
  <w:style w:type="character" w:styleId="IntenseEmphasis">
    <w:name w:val="Intense Emphasis"/>
    <w:basedOn w:val="DefaultParagraphFont"/>
    <w:uiPriority w:val="21"/>
    <w:qFormat/>
    <w:rsid w:val="00D76157"/>
    <w:rPr>
      <w:i/>
      <w:iCs/>
      <w:color w:val="0F4761" w:themeColor="accent1" w:themeShade="BF"/>
    </w:rPr>
  </w:style>
  <w:style w:type="paragraph" w:styleId="IntenseQuote">
    <w:name w:val="Intense Quote"/>
    <w:basedOn w:val="Normal"/>
    <w:next w:val="Normal"/>
    <w:link w:val="IntenseQuoteChar"/>
    <w:uiPriority w:val="30"/>
    <w:qFormat/>
    <w:rsid w:val="00D761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157"/>
    <w:rPr>
      <w:i/>
      <w:iCs/>
      <w:color w:val="0F4761" w:themeColor="accent1" w:themeShade="BF"/>
    </w:rPr>
  </w:style>
  <w:style w:type="character" w:styleId="IntenseReference">
    <w:name w:val="Intense Reference"/>
    <w:basedOn w:val="DefaultParagraphFont"/>
    <w:uiPriority w:val="32"/>
    <w:qFormat/>
    <w:rsid w:val="00D76157"/>
    <w:rPr>
      <w:b/>
      <w:bCs/>
      <w:smallCaps/>
      <w:color w:val="0F4761" w:themeColor="accent1" w:themeShade="BF"/>
      <w:spacing w:val="5"/>
    </w:rPr>
  </w:style>
  <w:style w:type="character" w:styleId="LineNumber">
    <w:name w:val="line number"/>
    <w:basedOn w:val="DefaultParagraphFont"/>
    <w:uiPriority w:val="99"/>
    <w:semiHidden/>
    <w:unhideWhenUsed/>
    <w:rsid w:val="00236AAC"/>
  </w:style>
  <w:style w:type="paragraph" w:styleId="NoSpacing">
    <w:name w:val="No Spacing"/>
    <w:uiPriority w:val="1"/>
    <w:qFormat/>
    <w:rsid w:val="00236AAC"/>
    <w:pPr>
      <w:spacing w:after="0" w:line="240" w:lineRule="auto"/>
    </w:pPr>
  </w:style>
  <w:style w:type="character" w:styleId="Hyperlink">
    <w:name w:val="Hyperlink"/>
    <w:basedOn w:val="DefaultParagraphFont"/>
    <w:uiPriority w:val="99"/>
    <w:unhideWhenUsed/>
    <w:rsid w:val="00236AAC"/>
    <w:rPr>
      <w:color w:val="0000FF"/>
      <w:u w:val="single"/>
    </w:rPr>
  </w:style>
  <w:style w:type="paragraph" w:styleId="Bibliography">
    <w:name w:val="Bibliography"/>
    <w:basedOn w:val="Normal"/>
    <w:next w:val="Normal"/>
    <w:uiPriority w:val="37"/>
    <w:semiHidden/>
    <w:unhideWhenUsed/>
    <w:rsid w:val="00CA2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mrajasekaran@health.ucsd.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864</Words>
  <Characters>5467</Characters>
  <Application>Microsoft Office Word</Application>
  <DocSecurity>0</DocSecurity>
  <Lines>94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Gopinath, Varshiny</dc:creator>
  <cp:keywords/>
  <dc:description/>
  <cp:lastModifiedBy>Zhou, Hillary</cp:lastModifiedBy>
  <cp:revision>3</cp:revision>
  <dcterms:created xsi:type="dcterms:W3CDTF">2026-04-03T00:05:00Z</dcterms:created>
  <dcterms:modified xsi:type="dcterms:W3CDTF">2026-04-03T00:05:00Z</dcterms:modified>
</cp:coreProperties>
</file>