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C3" w:rsidRDefault="005E552D">
      <w:pPr>
        <w:rPr>
          <w:rFonts w:asciiTheme="majorBidi" w:hAnsiTheme="majorBidi" w:cstheme="majorBidi"/>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248.65pt">
            <v:imagedata r:id="rId5" o:title=""/>
          </v:shape>
        </w:pict>
      </w:r>
      <w:r>
        <w:pict>
          <v:shape id="_x0000_i1026" type="#_x0000_t75" style="width:488.95pt;height:345.75pt">
            <v:imagedata r:id="rId6" o:title=""/>
          </v:shape>
        </w:pict>
      </w:r>
      <w:r w:rsidR="00964480">
        <w:t xml:space="preserve"> </w:t>
      </w:r>
      <w:r w:rsidR="00062BD3" w:rsidRPr="00B11C03">
        <w:rPr>
          <w:rFonts w:asciiTheme="majorBidi" w:hAnsiTheme="majorBidi" w:cstheme="majorBidi"/>
          <w:b/>
          <w:bCs/>
        </w:rPr>
        <w:t>Figure S1.</w:t>
      </w:r>
      <w:r w:rsidR="0059137C">
        <w:rPr>
          <w:rFonts w:asciiTheme="majorBidi" w:hAnsiTheme="majorBidi" w:cstheme="majorBidi"/>
          <w:b/>
          <w:bCs/>
        </w:rPr>
        <w:t xml:space="preserve">1: </w:t>
      </w:r>
      <w:r w:rsidR="00062BD3" w:rsidRPr="00B11C03">
        <w:rPr>
          <w:rFonts w:asciiTheme="majorBidi" w:hAnsiTheme="majorBidi" w:cstheme="majorBidi"/>
          <w:b/>
          <w:bCs/>
        </w:rPr>
        <w:t xml:space="preserve"> H</w:t>
      </w:r>
      <w:r w:rsidR="00062BD3" w:rsidRPr="005E3EEB">
        <w:rPr>
          <w:rFonts w:asciiTheme="majorBidi" w:hAnsiTheme="majorBidi" w:cstheme="majorBidi"/>
          <w:b/>
          <w:bCs/>
          <w:vertAlign w:val="superscript"/>
        </w:rPr>
        <w:t>1</w:t>
      </w:r>
      <w:r w:rsidR="00062BD3" w:rsidRPr="00B11C03">
        <w:rPr>
          <w:rFonts w:asciiTheme="majorBidi" w:hAnsiTheme="majorBidi" w:cstheme="majorBidi"/>
          <w:b/>
          <w:bCs/>
        </w:rPr>
        <w:t>NMR and C</w:t>
      </w:r>
      <w:r w:rsidR="00062BD3" w:rsidRPr="005E3EEB">
        <w:rPr>
          <w:rFonts w:asciiTheme="majorBidi" w:hAnsiTheme="majorBidi" w:cstheme="majorBidi"/>
          <w:b/>
          <w:bCs/>
          <w:vertAlign w:val="superscript"/>
        </w:rPr>
        <w:t>13</w:t>
      </w:r>
      <w:r w:rsidR="00062BD3" w:rsidRPr="00B11C03">
        <w:rPr>
          <w:rFonts w:asciiTheme="majorBidi" w:hAnsiTheme="majorBidi" w:cstheme="majorBidi"/>
          <w:b/>
          <w:bCs/>
        </w:rPr>
        <w:t xml:space="preserve">NMR of </w:t>
      </w:r>
      <w:r w:rsidR="00B11C03" w:rsidRPr="00B11C03">
        <w:rPr>
          <w:rFonts w:asciiTheme="majorBidi" w:hAnsiTheme="majorBidi" w:cstheme="majorBidi"/>
          <w:b/>
          <w:bCs/>
          <w:sz w:val="24"/>
          <w:szCs w:val="24"/>
        </w:rPr>
        <w:t>structure of glycyrrhetinic acid</w:t>
      </w:r>
      <w:r>
        <w:rPr>
          <w:rFonts w:asciiTheme="majorBidi" w:hAnsiTheme="majorBidi" w:cstheme="majorBidi"/>
          <w:b/>
          <w:bCs/>
          <w:sz w:val="24"/>
          <w:szCs w:val="24"/>
        </w:rPr>
        <w:t xml:space="preserve">  </w:t>
      </w:r>
      <w:bookmarkStart w:id="0" w:name="_GoBack"/>
      <w:bookmarkEnd w:id="0"/>
    </w:p>
    <w:p w:rsidR="003743EB" w:rsidRDefault="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r w:rsidRPr="003743EB">
        <w:rPr>
          <w:rFonts w:asciiTheme="majorBidi" w:hAnsiTheme="majorBidi" w:cstheme="majorBidi"/>
          <w:b/>
          <w:bCs/>
          <w:noProof/>
          <w:sz w:val="24"/>
          <w:szCs w:val="24"/>
        </w:rPr>
        <w:lastRenderedPageBreak/>
        <w:drawing>
          <wp:anchor distT="0" distB="0" distL="114300" distR="114300" simplePos="0" relativeHeight="251659264" behindDoc="0" locked="0" layoutInCell="1" allowOverlap="1" wp14:anchorId="239926CC" wp14:editId="45721B3A">
            <wp:simplePos x="0" y="0"/>
            <wp:positionH relativeFrom="column">
              <wp:posOffset>-759125</wp:posOffset>
            </wp:positionH>
            <wp:positionV relativeFrom="paragraph">
              <wp:posOffset>-759125</wp:posOffset>
            </wp:positionV>
            <wp:extent cx="5253487" cy="2856303"/>
            <wp:effectExtent l="0" t="0" r="0" b="127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2011" cy="2860938"/>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r w:rsidRPr="003743EB">
        <w:rPr>
          <w:rFonts w:asciiTheme="majorBidi" w:hAnsiTheme="majorBidi" w:cstheme="majorBidi"/>
          <w:b/>
          <w:bCs/>
          <w:noProof/>
          <w:sz w:val="24"/>
          <w:szCs w:val="24"/>
        </w:rPr>
        <w:drawing>
          <wp:anchor distT="0" distB="0" distL="114300" distR="114300" simplePos="0" relativeHeight="251660288" behindDoc="0" locked="0" layoutInCell="1" allowOverlap="1" wp14:anchorId="4C3D394D" wp14:editId="63CC1537">
            <wp:simplePos x="0" y="0"/>
            <wp:positionH relativeFrom="column">
              <wp:posOffset>-553085</wp:posOffset>
            </wp:positionH>
            <wp:positionV relativeFrom="paragraph">
              <wp:posOffset>310515</wp:posOffset>
            </wp:positionV>
            <wp:extent cx="5796915" cy="3151505"/>
            <wp:effectExtent l="0" t="0" r="0" b="0"/>
            <wp:wrapNone/>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315150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3743EB" w:rsidP="003743EB">
      <w:pPr>
        <w:rPr>
          <w:rFonts w:asciiTheme="majorBidi" w:hAnsiTheme="majorBidi" w:cstheme="majorBidi"/>
          <w:b/>
          <w:bCs/>
          <w:sz w:val="24"/>
          <w:szCs w:val="24"/>
        </w:rPr>
      </w:pPr>
    </w:p>
    <w:p w:rsidR="003743EB" w:rsidRDefault="0059137C" w:rsidP="0059137C">
      <w:pPr>
        <w:rPr>
          <w:rFonts w:asciiTheme="majorBidi" w:hAnsiTheme="majorBidi" w:cstheme="majorBidi"/>
          <w:b/>
          <w:bCs/>
          <w:sz w:val="24"/>
          <w:szCs w:val="24"/>
        </w:rPr>
      </w:pPr>
      <w:r w:rsidRPr="00B11C03">
        <w:rPr>
          <w:rFonts w:asciiTheme="majorBidi" w:hAnsiTheme="majorBidi" w:cstheme="majorBidi"/>
          <w:b/>
          <w:bCs/>
        </w:rPr>
        <w:t>Figure S1</w:t>
      </w:r>
      <w:r>
        <w:rPr>
          <w:rFonts w:asciiTheme="majorBidi" w:hAnsiTheme="majorBidi" w:cstheme="majorBidi"/>
          <w:b/>
          <w:bCs/>
        </w:rPr>
        <w:t xml:space="preserve">. 2:  </w:t>
      </w:r>
      <w:r w:rsidR="003743EB">
        <w:rPr>
          <w:rFonts w:asciiTheme="majorBidi" w:hAnsiTheme="majorBidi" w:cstheme="majorBidi"/>
          <w:b/>
          <w:bCs/>
        </w:rPr>
        <w:t xml:space="preserve">LCMSMS negative and positive mode </w:t>
      </w:r>
      <w:r w:rsidR="003743EB" w:rsidRPr="00B11C03">
        <w:rPr>
          <w:rFonts w:asciiTheme="majorBidi" w:hAnsiTheme="majorBidi" w:cstheme="majorBidi"/>
          <w:b/>
          <w:bCs/>
        </w:rPr>
        <w:t xml:space="preserve">of </w:t>
      </w:r>
      <w:r w:rsidR="003743EB" w:rsidRPr="00B11C03">
        <w:rPr>
          <w:rFonts w:asciiTheme="majorBidi" w:hAnsiTheme="majorBidi" w:cstheme="majorBidi"/>
          <w:b/>
          <w:bCs/>
          <w:sz w:val="24"/>
          <w:szCs w:val="24"/>
        </w:rPr>
        <w:t>structure of glycyrrhetinic acid</w:t>
      </w:r>
    </w:p>
    <w:p w:rsidR="003743EB" w:rsidRDefault="003743EB">
      <w:pPr>
        <w:rPr>
          <w:rFonts w:asciiTheme="majorBidi" w:hAnsiTheme="majorBidi" w:cstheme="majorBidi"/>
          <w:b/>
          <w:bCs/>
          <w:sz w:val="24"/>
          <w:szCs w:val="24"/>
        </w:rPr>
      </w:pPr>
    </w:p>
    <w:p w:rsidR="004F57B4" w:rsidRDefault="004F57B4">
      <w:pPr>
        <w:rPr>
          <w:rFonts w:asciiTheme="majorBidi" w:hAnsiTheme="majorBidi" w:cstheme="majorBidi"/>
          <w:b/>
          <w:bCs/>
          <w:sz w:val="24"/>
          <w:szCs w:val="24"/>
        </w:rPr>
      </w:pPr>
    </w:p>
    <w:p w:rsidR="003743EB" w:rsidRDefault="003743EB">
      <w:pPr>
        <w:rPr>
          <w:rFonts w:asciiTheme="majorBidi" w:hAnsiTheme="majorBidi" w:cstheme="majorBidi"/>
          <w:b/>
          <w:bCs/>
          <w:sz w:val="24"/>
          <w:szCs w:val="24"/>
        </w:rPr>
      </w:pPr>
    </w:p>
    <w:p w:rsidR="003743EB" w:rsidRDefault="003743EB">
      <w:pPr>
        <w:rPr>
          <w:rFonts w:asciiTheme="majorBidi" w:hAnsiTheme="majorBidi" w:cstheme="majorBidi"/>
          <w:b/>
          <w:bCs/>
          <w:sz w:val="24"/>
          <w:szCs w:val="24"/>
        </w:rPr>
      </w:pPr>
    </w:p>
    <w:p w:rsidR="003743EB" w:rsidRDefault="003743EB">
      <w:pPr>
        <w:rPr>
          <w:rFonts w:asciiTheme="majorBidi" w:hAnsiTheme="majorBidi" w:cstheme="majorBidi"/>
          <w:b/>
          <w:bCs/>
          <w:sz w:val="24"/>
          <w:szCs w:val="24"/>
        </w:rPr>
      </w:pPr>
    </w:p>
    <w:p w:rsidR="00B11C03" w:rsidRDefault="00B11C03">
      <w:pPr>
        <w:rPr>
          <w:rFonts w:asciiTheme="majorBidi" w:hAnsiTheme="majorBidi" w:cstheme="majorBidi"/>
          <w:b/>
          <w:bCs/>
          <w:sz w:val="24"/>
          <w:szCs w:val="24"/>
        </w:rPr>
      </w:pPr>
    </w:p>
    <w:p w:rsidR="00202E48" w:rsidRDefault="00202E48">
      <w:pPr>
        <w:rPr>
          <w:rFonts w:asciiTheme="majorBidi" w:hAnsiTheme="majorBidi" w:cstheme="majorBidi"/>
          <w:b/>
          <w:bCs/>
          <w:sz w:val="24"/>
          <w:szCs w:val="24"/>
        </w:rPr>
      </w:pPr>
    </w:p>
    <w:p w:rsidR="00B11C03" w:rsidRDefault="00B11C03">
      <w:pPr>
        <w:rPr>
          <w:rFonts w:asciiTheme="majorBidi" w:hAnsiTheme="majorBidi" w:cstheme="majorBidi"/>
          <w:b/>
          <w:bCs/>
        </w:rPr>
      </w:pPr>
      <w:r>
        <w:rPr>
          <w:rFonts w:asciiTheme="majorBidi" w:hAnsiTheme="majorBidi" w:cstheme="majorBidi"/>
          <w:b/>
          <w:bCs/>
          <w:noProof/>
        </w:rPr>
        <w:lastRenderedPageBreak/>
        <w:drawing>
          <wp:inline distT="0" distB="0" distL="0" distR="0">
            <wp:extent cx="5943600" cy="3345016"/>
            <wp:effectExtent l="0" t="0" r="0" b="8255"/>
            <wp:docPr id="2" name="Picture 2" descr="H:\mona PPOZNAN 2019-2020\licroice\final #Licorce\archiv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mona PPOZNAN 2019-2020\licroice\final #Licorce\archive\Figur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5016"/>
                    </a:xfrm>
                    <a:prstGeom prst="rect">
                      <a:avLst/>
                    </a:prstGeom>
                    <a:noFill/>
                    <a:ln>
                      <a:noFill/>
                    </a:ln>
                  </pic:spPr>
                </pic:pic>
              </a:graphicData>
            </a:graphic>
          </wp:inline>
        </w:drawing>
      </w:r>
    </w:p>
    <w:p w:rsidR="00B11C03" w:rsidRDefault="00B11C03" w:rsidP="00882D0B">
      <w:pPr>
        <w:tabs>
          <w:tab w:val="left" w:pos="0"/>
        </w:tabs>
        <w:spacing w:before="120" w:after="0" w:line="360" w:lineRule="auto"/>
        <w:jc w:val="both"/>
        <w:rPr>
          <w:rFonts w:asciiTheme="majorBidi" w:hAnsiTheme="majorBidi" w:cstheme="majorBidi"/>
          <w:sz w:val="24"/>
          <w:szCs w:val="24"/>
        </w:rPr>
      </w:pPr>
      <w:r>
        <w:rPr>
          <w:rFonts w:asciiTheme="majorBidi" w:hAnsiTheme="majorBidi" w:cstheme="majorBidi"/>
        </w:rPr>
        <w:tab/>
      </w:r>
      <w:r w:rsidRPr="00A41478">
        <w:rPr>
          <w:rFonts w:asciiTheme="majorBidi" w:hAnsiTheme="majorBidi" w:cstheme="majorBidi"/>
          <w:sz w:val="24"/>
          <w:szCs w:val="24"/>
        </w:rPr>
        <w:t xml:space="preserve">Figure </w:t>
      </w:r>
      <w:r>
        <w:rPr>
          <w:rFonts w:asciiTheme="majorBidi" w:hAnsiTheme="majorBidi" w:cstheme="majorBidi"/>
          <w:sz w:val="24"/>
          <w:szCs w:val="24"/>
        </w:rPr>
        <w:t>S2</w:t>
      </w:r>
      <w:r w:rsidRPr="00A41478">
        <w:rPr>
          <w:rFonts w:asciiTheme="majorBidi" w:hAnsiTheme="majorBidi" w:cstheme="majorBidi"/>
          <w:sz w:val="24"/>
          <w:szCs w:val="24"/>
        </w:rPr>
        <w:t>: (a)</w:t>
      </w:r>
      <w:r w:rsidR="00882D0B">
        <w:rPr>
          <w:rFonts w:asciiTheme="majorBidi" w:hAnsiTheme="majorBidi" w:cstheme="majorBidi"/>
          <w:sz w:val="24"/>
          <w:szCs w:val="24"/>
        </w:rPr>
        <w:t xml:space="preserve"> </w:t>
      </w:r>
      <w:r>
        <w:rPr>
          <w:rFonts w:asciiTheme="majorBidi" w:hAnsiTheme="majorBidi" w:cstheme="majorBidi"/>
          <w:sz w:val="24"/>
          <w:szCs w:val="24"/>
        </w:rPr>
        <w:t xml:space="preserve">Clibration Curve of Liquorice in PBS (pH 5.5) (b) </w:t>
      </w:r>
      <w:r w:rsidRPr="00E56248">
        <w:rPr>
          <w:rFonts w:asciiTheme="majorBidi" w:hAnsiTheme="majorBidi" w:cstheme="majorBidi"/>
          <w:sz w:val="24"/>
          <w:szCs w:val="24"/>
        </w:rPr>
        <w:t xml:space="preserve">Clibration Curve of Liquorice in PBS (pH </w:t>
      </w:r>
      <w:r>
        <w:rPr>
          <w:rFonts w:asciiTheme="majorBidi" w:hAnsiTheme="majorBidi" w:cstheme="majorBidi"/>
          <w:sz w:val="24"/>
          <w:szCs w:val="24"/>
        </w:rPr>
        <w:t>7.4</w:t>
      </w:r>
      <w:r w:rsidRPr="00E56248">
        <w:rPr>
          <w:rFonts w:asciiTheme="majorBidi" w:hAnsiTheme="majorBidi" w:cstheme="majorBidi"/>
          <w:sz w:val="24"/>
          <w:szCs w:val="24"/>
        </w:rPr>
        <w:t>)</w:t>
      </w:r>
      <w:r>
        <w:rPr>
          <w:rFonts w:asciiTheme="majorBidi" w:hAnsiTheme="majorBidi" w:cstheme="majorBidi"/>
          <w:sz w:val="24"/>
          <w:szCs w:val="24"/>
        </w:rPr>
        <w:t>.</w:t>
      </w:r>
    </w:p>
    <w:p w:rsidR="00B11C03" w:rsidRDefault="00B11C03" w:rsidP="00B11C03">
      <w:pPr>
        <w:tabs>
          <w:tab w:val="left" w:pos="3161"/>
        </w:tabs>
        <w:rPr>
          <w:rFonts w:asciiTheme="majorBidi" w:hAnsiTheme="majorBidi" w:cstheme="majorBidi"/>
        </w:rPr>
      </w:pPr>
    </w:p>
    <w:p w:rsidR="00120DE2" w:rsidRDefault="00120DE2" w:rsidP="00B11C03">
      <w:pPr>
        <w:tabs>
          <w:tab w:val="left" w:pos="3161"/>
        </w:tabs>
        <w:rPr>
          <w:rFonts w:asciiTheme="majorBidi" w:hAnsiTheme="majorBidi" w:cstheme="majorBidi"/>
        </w:rPr>
      </w:pPr>
    </w:p>
    <w:p w:rsidR="00120DE2" w:rsidRPr="00BA1B69" w:rsidRDefault="00120DE2" w:rsidP="00882D0B">
      <w:pPr>
        <w:spacing w:after="0" w:line="240" w:lineRule="auto"/>
        <w:jc w:val="center"/>
        <w:rPr>
          <w:rFonts w:asciiTheme="majorBidi" w:eastAsia="SimSun" w:hAnsiTheme="majorBidi" w:cstheme="majorBidi"/>
          <w:sz w:val="20"/>
          <w:szCs w:val="20"/>
          <w:lang w:bidi="hi-IN"/>
        </w:rPr>
      </w:pPr>
      <w:r w:rsidRPr="000D0AF5">
        <w:rPr>
          <w:rFonts w:asciiTheme="majorBidi" w:hAnsiTheme="majorBidi" w:cstheme="majorBidi"/>
          <w:b/>
          <w:bCs/>
          <w:color w:val="000000"/>
          <w:sz w:val="20"/>
          <w:szCs w:val="20"/>
        </w:rPr>
        <w:t xml:space="preserve">Table </w:t>
      </w:r>
      <w:r>
        <w:rPr>
          <w:rFonts w:asciiTheme="majorBidi" w:hAnsiTheme="majorBidi" w:cstheme="majorBidi"/>
          <w:b/>
          <w:bCs/>
          <w:color w:val="000000"/>
          <w:sz w:val="20"/>
          <w:szCs w:val="20"/>
        </w:rPr>
        <w:t>S1</w:t>
      </w:r>
      <w:r w:rsidRPr="000D0AF5">
        <w:rPr>
          <w:rFonts w:asciiTheme="majorBidi" w:hAnsiTheme="majorBidi" w:cstheme="majorBidi"/>
          <w:b/>
          <w:bCs/>
          <w:color w:val="000000"/>
          <w:sz w:val="20"/>
          <w:szCs w:val="20"/>
        </w:rPr>
        <w:t xml:space="preserve">.  </w:t>
      </w:r>
      <w:r w:rsidRPr="00BA1B69">
        <w:rPr>
          <w:rFonts w:asciiTheme="majorBidi" w:hAnsiTheme="majorBidi" w:cstheme="majorBidi"/>
          <w:color w:val="000000"/>
          <w:sz w:val="20"/>
          <w:szCs w:val="20"/>
        </w:rPr>
        <w:t xml:space="preserve">Phytochemical screening of </w:t>
      </w:r>
      <w:r w:rsidR="00882D0B" w:rsidRPr="00882D0B">
        <w:rPr>
          <w:rFonts w:asciiTheme="majorBidi" w:hAnsiTheme="majorBidi" w:cstheme="majorBidi"/>
          <w:color w:val="222222"/>
          <w:sz w:val="20"/>
          <w:szCs w:val="20"/>
          <w:shd w:val="clear" w:color="auto" w:fill="FFFFFF"/>
        </w:rPr>
        <w:t xml:space="preserve">Liquorice </w:t>
      </w:r>
      <w:r w:rsidRPr="00BA1B69">
        <w:rPr>
          <w:rFonts w:asciiTheme="majorBidi" w:hAnsiTheme="majorBidi" w:cstheme="majorBidi"/>
          <w:color w:val="000000"/>
          <w:sz w:val="20"/>
          <w:szCs w:val="20"/>
        </w:rPr>
        <w:t>and their fractions.</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1304"/>
        <w:gridCol w:w="1333"/>
        <w:gridCol w:w="1229"/>
        <w:gridCol w:w="991"/>
        <w:gridCol w:w="1212"/>
        <w:gridCol w:w="918"/>
      </w:tblGrid>
      <w:tr w:rsidR="00120DE2" w:rsidRPr="000D0AF5" w:rsidTr="004C3263">
        <w:trPr>
          <w:trHeight w:val="20"/>
          <w:jc w:val="center"/>
        </w:trPr>
        <w:tc>
          <w:tcPr>
            <w:tcW w:w="1935" w:type="dxa"/>
            <w:vMerge w:val="restart"/>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Groups</w:t>
            </w:r>
          </w:p>
        </w:tc>
        <w:tc>
          <w:tcPr>
            <w:tcW w:w="6987" w:type="dxa"/>
            <w:gridSpan w:val="6"/>
            <w:vAlign w:val="center"/>
          </w:tcPr>
          <w:p w:rsidR="00120DE2" w:rsidRPr="000D0AF5" w:rsidRDefault="00120DE2" w:rsidP="004C3263">
            <w:pPr>
              <w:spacing w:after="0" w:line="240" w:lineRule="auto"/>
              <w:jc w:val="center"/>
              <w:rPr>
                <w:rFonts w:asciiTheme="majorBidi" w:eastAsia="SimSun" w:hAnsiTheme="majorBidi" w:cstheme="majorBidi"/>
                <w:b/>
                <w:bCs/>
                <w:sz w:val="18"/>
                <w:szCs w:val="18"/>
                <w:lang w:bidi="hi-IN"/>
              </w:rPr>
            </w:pPr>
            <w:r w:rsidRPr="000D0AF5">
              <w:rPr>
                <w:rFonts w:asciiTheme="majorBidi" w:hAnsiTheme="majorBidi" w:cstheme="majorBidi"/>
                <w:b/>
                <w:bCs/>
                <w:color w:val="222222"/>
                <w:sz w:val="18"/>
                <w:szCs w:val="18"/>
                <w:shd w:val="clear" w:color="auto" w:fill="FFFFFF"/>
              </w:rPr>
              <w:t xml:space="preserve">Glycyrrhiza </w:t>
            </w:r>
            <w:r w:rsidRPr="000D0AF5">
              <w:rPr>
                <w:rFonts w:asciiTheme="majorBidi" w:hAnsiTheme="majorBidi" w:cstheme="majorBidi"/>
                <w:b/>
                <w:bCs/>
                <w:i/>
                <w:iCs/>
                <w:color w:val="222222"/>
                <w:sz w:val="18"/>
                <w:szCs w:val="18"/>
                <w:shd w:val="clear" w:color="auto" w:fill="FFFFFF"/>
              </w:rPr>
              <w:t>glabra</w:t>
            </w:r>
          </w:p>
        </w:tc>
      </w:tr>
      <w:tr w:rsidR="00120DE2" w:rsidRPr="000D0AF5" w:rsidTr="004C3263">
        <w:trPr>
          <w:trHeight w:val="20"/>
          <w:jc w:val="center"/>
        </w:trPr>
        <w:tc>
          <w:tcPr>
            <w:tcW w:w="1935" w:type="dxa"/>
            <w:vMerge/>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lang w:bidi="ar-EG"/>
              </w:rPr>
            </w:pP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tl/>
                <w:lang w:bidi="ar-EG"/>
              </w:rPr>
            </w:pPr>
            <w:r w:rsidRPr="000D0AF5">
              <w:rPr>
                <w:rFonts w:asciiTheme="majorBidi" w:hAnsiTheme="majorBidi" w:cstheme="majorBidi"/>
                <w:b/>
                <w:bCs/>
                <w:color w:val="000000"/>
                <w:sz w:val="18"/>
                <w:szCs w:val="18"/>
              </w:rPr>
              <w:t xml:space="preserve">Total </w:t>
            </w:r>
          </w:p>
        </w:tc>
        <w:tc>
          <w:tcPr>
            <w:tcW w:w="1333"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tl/>
                <w:lang w:bidi="ar-EG"/>
              </w:rPr>
            </w:pPr>
            <w:r w:rsidRPr="000D0AF5">
              <w:rPr>
                <w:rFonts w:asciiTheme="majorBidi" w:hAnsiTheme="majorBidi" w:cstheme="majorBidi"/>
                <w:b/>
                <w:bCs/>
                <w:color w:val="000000"/>
                <w:sz w:val="18"/>
                <w:szCs w:val="18"/>
              </w:rPr>
              <w:t>Pet. ether</w:t>
            </w:r>
          </w:p>
        </w:tc>
        <w:tc>
          <w:tcPr>
            <w:tcW w:w="1229"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CH</w:t>
            </w:r>
            <w:r w:rsidRPr="000D0AF5">
              <w:rPr>
                <w:rFonts w:asciiTheme="majorBidi" w:hAnsiTheme="majorBidi" w:cstheme="majorBidi"/>
                <w:b/>
                <w:bCs/>
                <w:color w:val="000000"/>
                <w:sz w:val="18"/>
                <w:szCs w:val="18"/>
                <w:vertAlign w:val="subscript"/>
              </w:rPr>
              <w:t>2</w:t>
            </w:r>
            <w:r w:rsidRPr="000D0AF5">
              <w:rPr>
                <w:rFonts w:asciiTheme="majorBidi" w:hAnsiTheme="majorBidi" w:cstheme="majorBidi"/>
                <w:b/>
                <w:bCs/>
                <w:color w:val="000000"/>
                <w:sz w:val="18"/>
                <w:szCs w:val="18"/>
              </w:rPr>
              <w:t>CL</w:t>
            </w:r>
            <w:r w:rsidRPr="000D0AF5">
              <w:rPr>
                <w:rFonts w:asciiTheme="majorBidi" w:hAnsiTheme="majorBidi" w:cstheme="majorBidi"/>
                <w:b/>
                <w:bCs/>
                <w:color w:val="000000"/>
                <w:sz w:val="18"/>
                <w:szCs w:val="18"/>
                <w:vertAlign w:val="subscript"/>
              </w:rPr>
              <w:t>2</w:t>
            </w:r>
          </w:p>
        </w:tc>
        <w:tc>
          <w:tcPr>
            <w:tcW w:w="991"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EtOAc</w:t>
            </w:r>
          </w:p>
        </w:tc>
        <w:tc>
          <w:tcPr>
            <w:tcW w:w="1212"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Butanol</w:t>
            </w:r>
          </w:p>
        </w:tc>
        <w:tc>
          <w:tcPr>
            <w:tcW w:w="918"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H</w:t>
            </w:r>
            <w:r w:rsidRPr="000D0AF5">
              <w:rPr>
                <w:rFonts w:asciiTheme="majorBidi" w:hAnsiTheme="majorBidi" w:cstheme="majorBidi"/>
                <w:b/>
                <w:bCs/>
                <w:color w:val="000000"/>
                <w:sz w:val="18"/>
                <w:szCs w:val="18"/>
                <w:vertAlign w:val="subscript"/>
              </w:rPr>
              <w:t>2</w:t>
            </w:r>
            <w:r w:rsidRPr="000D0AF5">
              <w:rPr>
                <w:rFonts w:asciiTheme="majorBidi" w:hAnsiTheme="majorBidi" w:cstheme="majorBidi"/>
                <w:b/>
                <w:bCs/>
                <w:color w:val="000000"/>
                <w:sz w:val="18"/>
                <w:szCs w:val="18"/>
              </w:rPr>
              <w:t>O</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Volatile Oils</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ˉ</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Carbohydrate</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Tannins</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Flavonoids, NaOH</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Flavonoids (Shinoda test)</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Saponin</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Sterol and / or triterpenes</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20"/>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Coumarins</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r w:rsidR="00120DE2" w:rsidRPr="000D0AF5" w:rsidTr="004C3263">
        <w:trPr>
          <w:trHeight w:val="107"/>
          <w:jc w:val="center"/>
        </w:trPr>
        <w:tc>
          <w:tcPr>
            <w:tcW w:w="1935"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Alkaloids</w:t>
            </w:r>
          </w:p>
        </w:tc>
        <w:tc>
          <w:tcPr>
            <w:tcW w:w="1304" w:type="dxa"/>
            <w:vAlign w:val="center"/>
          </w:tcPr>
          <w:p w:rsidR="00120DE2" w:rsidRPr="000D0AF5" w:rsidRDefault="00120DE2" w:rsidP="004C3263">
            <w:pPr>
              <w:spacing w:after="0" w:line="240" w:lineRule="auto"/>
              <w:jc w:val="center"/>
              <w:outlineLvl w:val="0"/>
              <w:rPr>
                <w:rFonts w:asciiTheme="majorBidi" w:hAnsiTheme="majorBidi" w:cstheme="majorBidi"/>
                <w:b/>
                <w:bCs/>
                <w:color w:val="000000"/>
                <w:sz w:val="18"/>
                <w:szCs w:val="18"/>
              </w:rPr>
            </w:pPr>
            <w:r w:rsidRPr="000D0AF5">
              <w:rPr>
                <w:rFonts w:asciiTheme="majorBidi" w:hAnsiTheme="majorBidi" w:cstheme="majorBidi"/>
                <w:b/>
                <w:bCs/>
                <w:color w:val="000000"/>
                <w:sz w:val="18"/>
                <w:szCs w:val="18"/>
              </w:rPr>
              <w:t>++</w:t>
            </w:r>
          </w:p>
        </w:tc>
        <w:tc>
          <w:tcPr>
            <w:tcW w:w="1333"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29"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91"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1212"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c>
          <w:tcPr>
            <w:tcW w:w="918" w:type="dxa"/>
            <w:vAlign w:val="bottom"/>
          </w:tcPr>
          <w:p w:rsidR="00120DE2" w:rsidRPr="000D0AF5" w:rsidRDefault="00120DE2" w:rsidP="004C3263">
            <w:pPr>
              <w:spacing w:after="0" w:line="240" w:lineRule="auto"/>
              <w:jc w:val="both"/>
              <w:rPr>
                <w:rFonts w:asciiTheme="majorBidi" w:hAnsiTheme="majorBidi" w:cstheme="majorBidi"/>
                <w:b/>
                <w:bCs/>
                <w:sz w:val="18"/>
                <w:szCs w:val="18"/>
                <w:lang w:bidi="hi-IN"/>
              </w:rPr>
            </w:pPr>
            <w:r w:rsidRPr="000D0AF5">
              <w:rPr>
                <w:rFonts w:asciiTheme="majorBidi" w:hAnsiTheme="majorBidi" w:cstheme="majorBidi"/>
                <w:b/>
                <w:bCs/>
                <w:sz w:val="18"/>
                <w:szCs w:val="18"/>
                <w:lang w:bidi="hi-IN"/>
              </w:rPr>
              <w:t>-</w:t>
            </w:r>
          </w:p>
        </w:tc>
      </w:tr>
    </w:tbl>
    <w:p w:rsidR="00120DE2" w:rsidRDefault="00120DE2" w:rsidP="00120DE2">
      <w:pPr>
        <w:spacing w:after="0" w:line="240" w:lineRule="auto"/>
        <w:rPr>
          <w:rFonts w:asciiTheme="majorBidi" w:hAnsiTheme="majorBidi" w:cstheme="majorBidi"/>
          <w:b/>
          <w:bCs/>
          <w:color w:val="000000"/>
          <w:sz w:val="20"/>
          <w:szCs w:val="20"/>
        </w:rPr>
      </w:pPr>
      <w:r w:rsidRPr="00C65636">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rPr>
        <w:t xml:space="preserve">                      </w:t>
      </w:r>
      <w:r w:rsidRPr="000D0AF5">
        <w:rPr>
          <w:rFonts w:asciiTheme="majorBidi" w:hAnsiTheme="majorBidi" w:cstheme="majorBidi"/>
          <w:b/>
          <w:bCs/>
          <w:color w:val="000000"/>
          <w:sz w:val="20"/>
          <w:szCs w:val="20"/>
        </w:rPr>
        <w:t>(++), (+) and (-) refer to high, low and absente amount respectively</w:t>
      </w: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6F72D5" w:rsidRDefault="006F72D5" w:rsidP="00120DE2">
      <w:pPr>
        <w:spacing w:after="0" w:line="240" w:lineRule="auto"/>
        <w:rPr>
          <w:rFonts w:asciiTheme="majorBidi" w:hAnsiTheme="majorBidi" w:cstheme="majorBidi"/>
          <w:b/>
          <w:bCs/>
          <w:color w:val="000000"/>
          <w:sz w:val="20"/>
          <w:szCs w:val="20"/>
        </w:rPr>
      </w:pPr>
    </w:p>
    <w:p w:rsidR="006F72D5" w:rsidRDefault="006F72D5"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Default="004C3263" w:rsidP="00120DE2">
      <w:pPr>
        <w:spacing w:after="0" w:line="240" w:lineRule="auto"/>
        <w:rPr>
          <w:rFonts w:asciiTheme="majorBidi" w:hAnsiTheme="majorBidi" w:cstheme="majorBidi"/>
          <w:b/>
          <w:bCs/>
          <w:color w:val="000000"/>
          <w:sz w:val="20"/>
          <w:szCs w:val="20"/>
        </w:rPr>
      </w:pPr>
    </w:p>
    <w:p w:rsidR="004C3263" w:rsidRPr="000D0AF5" w:rsidRDefault="004C3263" w:rsidP="00120DE2">
      <w:pPr>
        <w:spacing w:after="0" w:line="240" w:lineRule="auto"/>
        <w:rPr>
          <w:rFonts w:asciiTheme="majorBidi" w:hAnsiTheme="majorBidi" w:cstheme="majorBidi"/>
          <w:b/>
          <w:bCs/>
          <w:color w:val="000000"/>
          <w:sz w:val="20"/>
          <w:szCs w:val="20"/>
        </w:rPr>
      </w:pPr>
    </w:p>
    <w:p w:rsidR="004C3263" w:rsidRPr="00C65636" w:rsidRDefault="004C3263" w:rsidP="007A1E51">
      <w:pPr>
        <w:spacing w:after="0" w:line="240" w:lineRule="auto"/>
        <w:ind w:left="142"/>
        <w:jc w:val="both"/>
        <w:rPr>
          <w:rFonts w:asciiTheme="majorBidi" w:hAnsiTheme="majorBidi" w:cstheme="majorBidi"/>
          <w:sz w:val="24"/>
          <w:szCs w:val="24"/>
        </w:rPr>
      </w:pPr>
      <w:r w:rsidRPr="00E241AA">
        <w:rPr>
          <w:rFonts w:asciiTheme="majorBidi" w:hAnsiTheme="majorBidi" w:cstheme="majorBidi"/>
          <w:b/>
          <w:bCs/>
          <w:sz w:val="20"/>
          <w:szCs w:val="20"/>
          <w:lang w:bidi="ar-EG"/>
        </w:rPr>
        <w:t>Table (</w:t>
      </w:r>
      <w:r>
        <w:rPr>
          <w:rFonts w:asciiTheme="majorBidi" w:hAnsiTheme="majorBidi" w:cstheme="majorBidi"/>
          <w:b/>
          <w:bCs/>
          <w:sz w:val="20"/>
          <w:szCs w:val="20"/>
          <w:lang w:bidi="ar-EG"/>
        </w:rPr>
        <w:t>S2</w:t>
      </w:r>
      <w:r w:rsidRPr="00E241AA">
        <w:rPr>
          <w:rFonts w:asciiTheme="majorBidi" w:hAnsiTheme="majorBidi" w:cstheme="majorBidi"/>
          <w:b/>
          <w:bCs/>
          <w:i/>
          <w:iCs/>
          <w:sz w:val="20"/>
          <w:szCs w:val="20"/>
          <w:lang w:bidi="ar-EG"/>
        </w:rPr>
        <w:t xml:space="preserve">) </w:t>
      </w:r>
      <w:r w:rsidRPr="00E241AA">
        <w:rPr>
          <w:rFonts w:asciiTheme="majorBidi" w:hAnsiTheme="majorBidi" w:cstheme="majorBidi"/>
          <w:b/>
          <w:bCs/>
          <w:sz w:val="20"/>
          <w:szCs w:val="20"/>
          <w:lang w:bidi="ar-EG"/>
        </w:rPr>
        <w:t xml:space="preserve">Comparative DPPH antioxidant activity of </w:t>
      </w:r>
      <w:r w:rsidR="007A1E51">
        <w:rPr>
          <w:rFonts w:asciiTheme="majorBidi" w:hAnsiTheme="majorBidi" w:cstheme="majorBidi"/>
          <w:b/>
          <w:bCs/>
          <w:sz w:val="20"/>
          <w:szCs w:val="20"/>
          <w:lang w:bidi="ar-EG"/>
        </w:rPr>
        <w:t>g</w:t>
      </w:r>
      <w:r w:rsidR="007A1E51" w:rsidRPr="007A1E51">
        <w:rPr>
          <w:rFonts w:asciiTheme="majorBidi" w:hAnsiTheme="majorBidi" w:cstheme="majorBidi"/>
          <w:b/>
          <w:bCs/>
          <w:sz w:val="20"/>
          <w:szCs w:val="20"/>
          <w:lang w:bidi="ar-EG"/>
        </w:rPr>
        <w:t xml:space="preserve">lycyrrhetinic </w:t>
      </w:r>
      <w:r w:rsidR="007A1E51">
        <w:rPr>
          <w:rFonts w:asciiTheme="majorBidi" w:hAnsiTheme="majorBidi" w:cstheme="majorBidi"/>
          <w:b/>
          <w:bCs/>
          <w:sz w:val="20"/>
          <w:szCs w:val="20"/>
          <w:lang w:bidi="ar-EG"/>
        </w:rPr>
        <w:t>a</w:t>
      </w:r>
      <w:r w:rsidR="007A1E51" w:rsidRPr="007A1E51">
        <w:rPr>
          <w:rFonts w:asciiTheme="majorBidi" w:hAnsiTheme="majorBidi" w:cstheme="majorBidi"/>
          <w:b/>
          <w:bCs/>
          <w:sz w:val="20"/>
          <w:szCs w:val="20"/>
          <w:lang w:bidi="ar-EG"/>
        </w:rPr>
        <w:t>cid</w:t>
      </w:r>
      <w:r w:rsidR="007A1E51" w:rsidRPr="00E241AA">
        <w:rPr>
          <w:rFonts w:asciiTheme="majorBidi" w:hAnsiTheme="majorBidi" w:cstheme="majorBidi"/>
          <w:b/>
          <w:bCs/>
          <w:sz w:val="20"/>
          <w:szCs w:val="20"/>
          <w:lang w:bidi="ar-EG"/>
        </w:rPr>
        <w:t xml:space="preserve"> </w:t>
      </w:r>
      <w:r w:rsidRPr="00E241AA">
        <w:rPr>
          <w:rFonts w:asciiTheme="majorBidi" w:hAnsiTheme="majorBidi" w:cstheme="majorBidi"/>
          <w:b/>
          <w:bCs/>
          <w:sz w:val="20"/>
          <w:szCs w:val="20"/>
          <w:lang w:bidi="ar-EG"/>
        </w:rPr>
        <w:t xml:space="preserve">with </w:t>
      </w:r>
      <w:r>
        <w:rPr>
          <w:rFonts w:asciiTheme="majorBidi" w:hAnsiTheme="majorBidi" w:cstheme="majorBidi"/>
          <w:b/>
          <w:bCs/>
          <w:i/>
          <w:iCs/>
          <w:sz w:val="20"/>
          <w:szCs w:val="20"/>
        </w:rPr>
        <w:t>GG</w:t>
      </w:r>
      <w:r w:rsidRPr="00E241AA">
        <w:rPr>
          <w:rFonts w:asciiTheme="majorBidi" w:hAnsiTheme="majorBidi" w:cstheme="majorBidi"/>
          <w:b/>
          <w:bCs/>
          <w:sz w:val="20"/>
          <w:szCs w:val="20"/>
          <w:lang w:bidi="ar-EG"/>
        </w:rPr>
        <w:t>.</w:t>
      </w:r>
    </w:p>
    <w:tbl>
      <w:tblPr>
        <w:tblW w:w="1155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253"/>
        <w:gridCol w:w="1350"/>
        <w:gridCol w:w="1230"/>
        <w:gridCol w:w="1380"/>
        <w:gridCol w:w="1184"/>
        <w:gridCol w:w="1297"/>
        <w:gridCol w:w="1221"/>
        <w:gridCol w:w="1472"/>
      </w:tblGrid>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Sample/DPPH Conc µg/ml</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vit C</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trolox</w:t>
            </w:r>
          </w:p>
        </w:tc>
        <w:tc>
          <w:tcPr>
            <w:tcW w:w="1230" w:type="dxa"/>
            <w:shd w:val="clear" w:color="auto" w:fill="auto"/>
            <w:noWrap/>
            <w:vAlign w:val="center"/>
            <w:hideMark/>
          </w:tcPr>
          <w:p w:rsidR="004C3263" w:rsidRPr="00163627" w:rsidRDefault="00000E50" w:rsidP="00000E50">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 xml:space="preserve">EtOAc </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Pet. Ether</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CH</w:t>
            </w:r>
            <w:r w:rsidRPr="00163627">
              <w:rPr>
                <w:rFonts w:asciiTheme="majorBidi" w:hAnsiTheme="majorBidi" w:cstheme="majorBidi"/>
                <w:b/>
                <w:bCs/>
                <w:color w:val="000000"/>
                <w:sz w:val="18"/>
                <w:szCs w:val="18"/>
                <w:vertAlign w:val="subscript"/>
              </w:rPr>
              <w:t>2</w:t>
            </w:r>
            <w:r w:rsidRPr="00163627">
              <w:rPr>
                <w:rFonts w:asciiTheme="majorBidi" w:hAnsiTheme="majorBidi" w:cstheme="majorBidi"/>
                <w:b/>
                <w:bCs/>
                <w:color w:val="000000"/>
                <w:sz w:val="18"/>
                <w:szCs w:val="18"/>
              </w:rPr>
              <w:t>CL</w:t>
            </w:r>
            <w:r w:rsidRPr="00163627">
              <w:rPr>
                <w:rFonts w:asciiTheme="majorBidi" w:hAnsiTheme="majorBidi" w:cstheme="majorBidi"/>
                <w:b/>
                <w:bCs/>
                <w:color w:val="000000"/>
                <w:sz w:val="18"/>
                <w:szCs w:val="18"/>
                <w:vertAlign w:val="subscript"/>
              </w:rPr>
              <w:t>2</w:t>
            </w:r>
          </w:p>
        </w:tc>
        <w:tc>
          <w:tcPr>
            <w:tcW w:w="1297" w:type="dxa"/>
            <w:shd w:val="clear" w:color="auto" w:fill="auto"/>
            <w:noWrap/>
            <w:vAlign w:val="center"/>
            <w:hideMark/>
          </w:tcPr>
          <w:p w:rsidR="004C3263" w:rsidRPr="00163627" w:rsidRDefault="00000E50"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Total</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BuOH</w:t>
            </w:r>
          </w:p>
        </w:tc>
        <w:tc>
          <w:tcPr>
            <w:tcW w:w="1316" w:type="dxa"/>
            <w:shd w:val="clear" w:color="auto" w:fill="auto"/>
            <w:noWrap/>
            <w:vAlign w:val="center"/>
            <w:hideMark/>
          </w:tcPr>
          <w:p w:rsidR="004C3263" w:rsidRPr="00163627" w:rsidRDefault="007A1E51" w:rsidP="007A1E51">
            <w:pPr>
              <w:spacing w:after="0" w:line="240" w:lineRule="auto"/>
              <w:jc w:val="center"/>
              <w:rPr>
                <w:rFonts w:asciiTheme="majorBidi" w:hAnsiTheme="majorBidi" w:cstheme="majorBidi"/>
                <w:b/>
                <w:bCs/>
                <w:color w:val="000000"/>
                <w:sz w:val="18"/>
                <w:szCs w:val="18"/>
              </w:rPr>
            </w:pPr>
            <w:r w:rsidRPr="007A1E51">
              <w:rPr>
                <w:rFonts w:asciiTheme="majorBidi" w:hAnsiTheme="majorBidi" w:cstheme="majorBidi"/>
                <w:b/>
                <w:bCs/>
                <w:sz w:val="20"/>
                <w:szCs w:val="20"/>
                <w:lang w:bidi="ar-EG"/>
              </w:rPr>
              <w:t xml:space="preserve">Glycyrrhetinic </w:t>
            </w:r>
            <w:r>
              <w:rPr>
                <w:rFonts w:asciiTheme="majorBidi" w:hAnsiTheme="majorBidi" w:cstheme="majorBidi"/>
                <w:b/>
                <w:bCs/>
                <w:sz w:val="20"/>
                <w:szCs w:val="20"/>
                <w:lang w:bidi="ar-EG"/>
              </w:rPr>
              <w:t>a</w:t>
            </w:r>
            <w:r w:rsidRPr="007A1E51">
              <w:rPr>
                <w:rFonts w:asciiTheme="majorBidi" w:hAnsiTheme="majorBidi" w:cstheme="majorBidi"/>
                <w:b/>
                <w:bCs/>
                <w:sz w:val="20"/>
                <w:szCs w:val="20"/>
                <w:lang w:bidi="ar-EG"/>
              </w:rPr>
              <w:t>cid</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30</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100 ± 0.00</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100.00 ± 0.00</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88.26 ± 0.96</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20</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78.8 ± 0.56</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80.35 ± 0.52</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85.18 ± 0.07</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85.48 ± 0.07</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79.17 ± 0.12</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75.58 ± 0.07</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85.82 ± 0.00</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70.30 ± 0.03</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15</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70.91± 0.89</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75.58 ± 0.75</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81.29 ± 0.07</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84.98 ± 0.14</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67.80 ± 0.00</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60.27 ± 0.00</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86.56 ± 0.00</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60.99 ±0.94</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10</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70.91 ±0.94</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60.59 ± 0.85</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80.40 ± 0.09</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82.62 ± 0.09</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61.35 ± 0.09</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43.13 ± 0.15</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83.06 ± 0.09</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40.27 ± 0.05</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5</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70.91 ± 0.33</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37.20 ± 0.42</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77.45 ± 0.09</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47.96 ± 0.31</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40.87 ± 0.09</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34.86 ± 0.00</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81.88 ± 0.09</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33.29 ± 0.07</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2.5</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70.91 ± 0.52</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30.55 ± 0.96</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62.40 ± 0.12</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75.37 ± 0.23</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1.5</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55.59 ± 0.23</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69.48 ± 0.30</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sz w:val="18"/>
                <w:szCs w:val="18"/>
              </w:rPr>
            </w:pPr>
            <w:r w:rsidRPr="00163627">
              <w:rPr>
                <w:rFonts w:asciiTheme="majorBidi" w:hAnsiTheme="majorBidi" w:cstheme="majorBidi"/>
                <w:b/>
                <w:bCs/>
                <w:sz w:val="18"/>
                <w:szCs w:val="18"/>
              </w:rPr>
              <w:t>1</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46.26 ±0.12</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55.59 ± 0.30</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163627" w:rsidTr="004C3263">
        <w:trPr>
          <w:trHeight w:val="288"/>
        </w:trPr>
        <w:tc>
          <w:tcPr>
            <w:tcW w:w="132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IC50</w:t>
            </w:r>
          </w:p>
        </w:tc>
        <w:tc>
          <w:tcPr>
            <w:tcW w:w="1253"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7.808</w:t>
            </w:r>
          </w:p>
        </w:tc>
        <w:tc>
          <w:tcPr>
            <w:tcW w:w="135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6.316</w:t>
            </w:r>
          </w:p>
        </w:tc>
        <w:tc>
          <w:tcPr>
            <w:tcW w:w="123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1.11</w:t>
            </w:r>
          </w:p>
        </w:tc>
        <w:tc>
          <w:tcPr>
            <w:tcW w:w="1380"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4.982</w:t>
            </w:r>
          </w:p>
        </w:tc>
        <w:tc>
          <w:tcPr>
            <w:tcW w:w="1184"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6.919</w:t>
            </w:r>
          </w:p>
        </w:tc>
        <w:tc>
          <w:tcPr>
            <w:tcW w:w="1297"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9.968</w:t>
            </w:r>
          </w:p>
        </w:tc>
        <w:tc>
          <w:tcPr>
            <w:tcW w:w="1221"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0.4456</w:t>
            </w:r>
          </w:p>
        </w:tc>
        <w:tc>
          <w:tcPr>
            <w:tcW w:w="1316" w:type="dxa"/>
            <w:shd w:val="clear" w:color="auto" w:fill="auto"/>
            <w:noWrap/>
            <w:vAlign w:val="center"/>
            <w:hideMark/>
          </w:tcPr>
          <w:p w:rsidR="004C3263" w:rsidRPr="00163627" w:rsidRDefault="004C3263" w:rsidP="004C3263">
            <w:pPr>
              <w:spacing w:after="0" w:line="240" w:lineRule="auto"/>
              <w:jc w:val="center"/>
              <w:rPr>
                <w:rFonts w:asciiTheme="majorBidi" w:hAnsiTheme="majorBidi" w:cstheme="majorBidi"/>
                <w:sz w:val="18"/>
                <w:szCs w:val="18"/>
              </w:rPr>
            </w:pPr>
            <w:r w:rsidRPr="00163627">
              <w:rPr>
                <w:rFonts w:asciiTheme="majorBidi" w:hAnsiTheme="majorBidi" w:cstheme="majorBidi"/>
                <w:sz w:val="18"/>
                <w:szCs w:val="18"/>
              </w:rPr>
              <w:t>10.5</w:t>
            </w:r>
          </w:p>
        </w:tc>
      </w:tr>
    </w:tbl>
    <w:p w:rsidR="004C3263" w:rsidRDefault="004C3263" w:rsidP="004C3263">
      <w:pPr>
        <w:pStyle w:val="ListParagraph"/>
        <w:bidi w:val="0"/>
        <w:spacing w:after="0" w:line="240" w:lineRule="auto"/>
        <w:rPr>
          <w:rFonts w:asciiTheme="majorBidi" w:eastAsia="SimSun" w:hAnsiTheme="majorBidi" w:cstheme="majorBidi"/>
          <w:sz w:val="24"/>
          <w:szCs w:val="24"/>
          <w:lang w:bidi="hi-IN"/>
        </w:rPr>
      </w:pPr>
    </w:p>
    <w:p w:rsidR="004C3263" w:rsidRPr="001139DD" w:rsidRDefault="004C3263" w:rsidP="007A1E51">
      <w:pPr>
        <w:spacing w:after="0" w:line="240" w:lineRule="auto"/>
        <w:rPr>
          <w:rFonts w:asciiTheme="majorBidi" w:hAnsiTheme="majorBidi" w:cstheme="majorBidi"/>
          <w:b/>
          <w:bCs/>
          <w:i/>
          <w:iCs/>
          <w:sz w:val="20"/>
          <w:szCs w:val="20"/>
        </w:rPr>
      </w:pPr>
      <w:r w:rsidRPr="00E241AA">
        <w:rPr>
          <w:rFonts w:asciiTheme="majorBidi" w:hAnsiTheme="majorBidi" w:cstheme="majorBidi"/>
          <w:b/>
          <w:bCs/>
          <w:sz w:val="20"/>
          <w:szCs w:val="20"/>
        </w:rPr>
        <w:t>Table(</w:t>
      </w:r>
      <w:r>
        <w:rPr>
          <w:rFonts w:asciiTheme="majorBidi" w:hAnsiTheme="majorBidi" w:cstheme="majorBidi"/>
          <w:b/>
          <w:bCs/>
          <w:sz w:val="20"/>
          <w:szCs w:val="20"/>
        </w:rPr>
        <w:t>S3</w:t>
      </w:r>
      <w:r w:rsidRPr="00E241AA">
        <w:rPr>
          <w:rFonts w:asciiTheme="majorBidi" w:hAnsiTheme="majorBidi" w:cstheme="majorBidi"/>
          <w:b/>
          <w:bCs/>
          <w:sz w:val="20"/>
          <w:szCs w:val="20"/>
        </w:rPr>
        <w:t xml:space="preserve">) Comparative </w:t>
      </w:r>
      <w:r w:rsidRPr="00E241AA">
        <w:rPr>
          <w:rFonts w:asciiTheme="majorBidi" w:hAnsiTheme="majorBidi" w:cstheme="majorBidi"/>
          <w:b/>
          <w:bCs/>
          <w:sz w:val="20"/>
          <w:szCs w:val="20"/>
          <w:lang w:bidi="ar-EG"/>
        </w:rPr>
        <w:t>ABTS</w:t>
      </w:r>
      <w:r w:rsidRPr="00E241AA">
        <w:rPr>
          <w:rFonts w:asciiTheme="majorBidi" w:hAnsiTheme="majorBidi" w:cstheme="majorBidi"/>
          <w:b/>
          <w:bCs/>
          <w:sz w:val="20"/>
          <w:szCs w:val="20"/>
          <w:vertAlign w:val="superscript"/>
          <w:lang w:bidi="ar-EG"/>
        </w:rPr>
        <w:t>+</w:t>
      </w:r>
      <w:r w:rsidRPr="00E241AA">
        <w:rPr>
          <w:rFonts w:asciiTheme="majorBidi" w:hAnsiTheme="majorBidi" w:cstheme="majorBidi"/>
          <w:b/>
          <w:bCs/>
          <w:sz w:val="20"/>
          <w:szCs w:val="20"/>
          <w:lang w:bidi="ar-EG"/>
        </w:rPr>
        <w:t xml:space="preserve">  antioxidant activity of </w:t>
      </w:r>
      <w:r w:rsidR="007A1E51">
        <w:rPr>
          <w:rFonts w:asciiTheme="majorBidi" w:hAnsiTheme="majorBidi" w:cstheme="majorBidi"/>
          <w:b/>
          <w:bCs/>
          <w:sz w:val="20"/>
          <w:szCs w:val="20"/>
          <w:lang w:bidi="ar-EG"/>
        </w:rPr>
        <w:t>g</w:t>
      </w:r>
      <w:r w:rsidR="007A1E51" w:rsidRPr="007A1E51">
        <w:rPr>
          <w:rFonts w:asciiTheme="majorBidi" w:hAnsiTheme="majorBidi" w:cstheme="majorBidi"/>
          <w:b/>
          <w:bCs/>
          <w:sz w:val="20"/>
          <w:szCs w:val="20"/>
          <w:lang w:bidi="ar-EG"/>
        </w:rPr>
        <w:t xml:space="preserve">lycyrrhetinic </w:t>
      </w:r>
      <w:r w:rsidR="007A1E51">
        <w:rPr>
          <w:rFonts w:asciiTheme="majorBidi" w:hAnsiTheme="majorBidi" w:cstheme="majorBidi"/>
          <w:b/>
          <w:bCs/>
          <w:sz w:val="20"/>
          <w:szCs w:val="20"/>
          <w:lang w:bidi="ar-EG"/>
        </w:rPr>
        <w:t>a</w:t>
      </w:r>
      <w:r w:rsidR="007A1E51" w:rsidRPr="007A1E51">
        <w:rPr>
          <w:rFonts w:asciiTheme="majorBidi" w:hAnsiTheme="majorBidi" w:cstheme="majorBidi"/>
          <w:b/>
          <w:bCs/>
          <w:sz w:val="20"/>
          <w:szCs w:val="20"/>
          <w:lang w:bidi="ar-EG"/>
        </w:rPr>
        <w:t xml:space="preserve">cid </w:t>
      </w:r>
      <w:r w:rsidR="007A1E51">
        <w:rPr>
          <w:rFonts w:asciiTheme="majorBidi" w:hAnsiTheme="majorBidi" w:cstheme="majorBidi"/>
          <w:b/>
          <w:bCs/>
          <w:sz w:val="20"/>
          <w:szCs w:val="20"/>
          <w:lang w:bidi="ar-EG"/>
        </w:rPr>
        <w:t xml:space="preserve"> </w:t>
      </w:r>
      <w:r w:rsidRPr="00E241AA">
        <w:rPr>
          <w:rFonts w:asciiTheme="majorBidi" w:hAnsiTheme="majorBidi" w:cstheme="majorBidi"/>
          <w:b/>
          <w:bCs/>
          <w:sz w:val="20"/>
          <w:szCs w:val="20"/>
          <w:lang w:bidi="ar-EG"/>
        </w:rPr>
        <w:t xml:space="preserve">with </w:t>
      </w:r>
      <w:r>
        <w:rPr>
          <w:rFonts w:asciiTheme="majorBidi" w:hAnsiTheme="majorBidi" w:cstheme="majorBidi"/>
          <w:b/>
          <w:bCs/>
          <w:i/>
          <w:iCs/>
          <w:sz w:val="20"/>
          <w:szCs w:val="20"/>
        </w:rPr>
        <w:t>GG</w:t>
      </w:r>
      <w:r w:rsidRPr="00E241AA">
        <w:rPr>
          <w:rFonts w:asciiTheme="majorBidi" w:hAnsiTheme="majorBidi" w:cstheme="majorBidi"/>
          <w:b/>
          <w:bCs/>
          <w:i/>
          <w:iCs/>
          <w:sz w:val="20"/>
          <w:szCs w:val="20"/>
        </w:rPr>
        <w:t>.</w:t>
      </w:r>
    </w:p>
    <w:tbl>
      <w:tblPr>
        <w:tblW w:w="11400" w:type="dxa"/>
        <w:tblInd w:w="-882" w:type="dxa"/>
        <w:tblLook w:val="04A0" w:firstRow="1" w:lastRow="0" w:firstColumn="1" w:lastColumn="0" w:noHBand="0" w:noVBand="1"/>
      </w:tblPr>
      <w:tblGrid>
        <w:gridCol w:w="1307"/>
        <w:gridCol w:w="1243"/>
        <w:gridCol w:w="1236"/>
        <w:gridCol w:w="1224"/>
        <w:gridCol w:w="1350"/>
        <w:gridCol w:w="1350"/>
        <w:gridCol w:w="1260"/>
        <w:gridCol w:w="1170"/>
        <w:gridCol w:w="1472"/>
      </w:tblGrid>
      <w:tr w:rsidR="004C3263" w:rsidRPr="00A1016C" w:rsidTr="004C3263">
        <w:trPr>
          <w:trHeight w:val="288"/>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Sample/ABTS Conc µg/ml</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vit C</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trolox</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000E50" w:rsidP="00000E50">
            <w:pPr>
              <w:spacing w:after="0" w:line="240" w:lineRule="auto"/>
              <w:jc w:val="center"/>
              <w:rPr>
                <w:rFonts w:asciiTheme="majorBidi" w:hAnsiTheme="majorBidi" w:cstheme="majorBidi"/>
                <w:b/>
                <w:bCs/>
                <w:color w:val="000000"/>
                <w:sz w:val="18"/>
                <w:szCs w:val="18"/>
              </w:rPr>
            </w:pPr>
            <w:r w:rsidRPr="00A1016C">
              <w:rPr>
                <w:rFonts w:asciiTheme="majorBidi" w:hAnsiTheme="majorBidi" w:cstheme="majorBidi"/>
                <w:b/>
                <w:bCs/>
                <w:color w:val="000000"/>
                <w:sz w:val="18"/>
                <w:szCs w:val="18"/>
              </w:rPr>
              <w:t>EtOAc</w:t>
            </w:r>
            <w:r w:rsidRPr="00163627">
              <w:rPr>
                <w:rFonts w:asciiTheme="majorBidi" w:hAnsiTheme="majorBidi" w:cstheme="majorBidi"/>
                <w:b/>
                <w:bCs/>
                <w:color w:val="000000"/>
                <w:sz w:val="18"/>
                <w:szCs w:val="18"/>
              </w:rPr>
              <w:t xml:space="preserve">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color w:val="000000"/>
                <w:sz w:val="18"/>
                <w:szCs w:val="18"/>
              </w:rPr>
            </w:pPr>
            <w:r w:rsidRPr="00A1016C">
              <w:rPr>
                <w:rFonts w:asciiTheme="majorBidi" w:hAnsiTheme="majorBidi" w:cstheme="majorBidi"/>
                <w:b/>
                <w:bCs/>
                <w:color w:val="000000"/>
                <w:sz w:val="18"/>
                <w:szCs w:val="18"/>
              </w:rPr>
              <w:t>Pet. Ether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color w:val="000000"/>
                <w:sz w:val="18"/>
                <w:szCs w:val="18"/>
              </w:rPr>
            </w:pPr>
            <w:r w:rsidRPr="00A1016C">
              <w:rPr>
                <w:rFonts w:asciiTheme="majorBidi" w:hAnsiTheme="majorBidi" w:cstheme="majorBidi"/>
                <w:b/>
                <w:bCs/>
                <w:color w:val="000000"/>
                <w:sz w:val="18"/>
                <w:szCs w:val="18"/>
              </w:rPr>
              <w:t>CH</w:t>
            </w:r>
            <w:r w:rsidRPr="00D5708C">
              <w:rPr>
                <w:rFonts w:asciiTheme="majorBidi" w:hAnsiTheme="majorBidi" w:cstheme="majorBidi"/>
                <w:b/>
                <w:bCs/>
                <w:color w:val="000000"/>
                <w:sz w:val="18"/>
                <w:szCs w:val="18"/>
                <w:vertAlign w:val="subscript"/>
              </w:rPr>
              <w:t>2</w:t>
            </w:r>
            <w:r w:rsidRPr="00A1016C">
              <w:rPr>
                <w:rFonts w:asciiTheme="majorBidi" w:hAnsiTheme="majorBidi" w:cstheme="majorBidi"/>
                <w:b/>
                <w:bCs/>
                <w:color w:val="000000"/>
                <w:sz w:val="18"/>
                <w:szCs w:val="18"/>
              </w:rPr>
              <w:t>CL</w:t>
            </w:r>
            <w:r w:rsidRPr="00D5708C">
              <w:rPr>
                <w:rFonts w:asciiTheme="majorBidi" w:hAnsiTheme="majorBidi" w:cstheme="majorBidi"/>
                <w:b/>
                <w:bCs/>
                <w:color w:val="000000"/>
                <w:sz w:val="18"/>
                <w:szCs w:val="18"/>
                <w:vertAlign w:val="subscript"/>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000E50" w:rsidP="004C3263">
            <w:pPr>
              <w:spacing w:after="0" w:line="240" w:lineRule="auto"/>
              <w:jc w:val="center"/>
              <w:rPr>
                <w:rFonts w:asciiTheme="majorBidi" w:hAnsiTheme="majorBidi" w:cstheme="majorBidi"/>
                <w:b/>
                <w:bCs/>
                <w:color w:val="000000"/>
                <w:sz w:val="18"/>
                <w:szCs w:val="18"/>
              </w:rPr>
            </w:pPr>
            <w:r w:rsidRPr="00163627">
              <w:rPr>
                <w:rFonts w:asciiTheme="majorBidi" w:hAnsiTheme="majorBidi" w:cstheme="majorBidi"/>
                <w:b/>
                <w:bCs/>
                <w:color w:val="000000"/>
                <w:sz w:val="18"/>
                <w:szCs w:val="18"/>
              </w:rPr>
              <w:t>Total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color w:val="000000"/>
                <w:sz w:val="18"/>
                <w:szCs w:val="18"/>
              </w:rPr>
            </w:pPr>
            <w:r w:rsidRPr="00A1016C">
              <w:rPr>
                <w:rFonts w:asciiTheme="majorBidi" w:hAnsiTheme="majorBidi" w:cstheme="majorBidi"/>
                <w:b/>
                <w:bCs/>
                <w:color w:val="000000"/>
                <w:sz w:val="18"/>
                <w:szCs w:val="18"/>
              </w:rPr>
              <w:t>BuOH</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C3263" w:rsidRPr="00A1016C" w:rsidRDefault="007A1E51" w:rsidP="007A1E51">
            <w:pPr>
              <w:spacing w:after="0" w:line="240" w:lineRule="auto"/>
              <w:jc w:val="center"/>
              <w:rPr>
                <w:rFonts w:asciiTheme="majorBidi" w:hAnsiTheme="majorBidi" w:cstheme="majorBidi"/>
                <w:b/>
                <w:bCs/>
                <w:color w:val="000000"/>
                <w:sz w:val="18"/>
                <w:szCs w:val="18"/>
              </w:rPr>
            </w:pPr>
            <w:r w:rsidRPr="007A1E51">
              <w:rPr>
                <w:rFonts w:asciiTheme="majorBidi" w:hAnsiTheme="majorBidi" w:cstheme="majorBidi"/>
                <w:b/>
                <w:bCs/>
                <w:sz w:val="20"/>
                <w:szCs w:val="20"/>
                <w:lang w:bidi="ar-EG"/>
              </w:rPr>
              <w:t xml:space="preserve">Glycyrrhetinic </w:t>
            </w:r>
            <w:r>
              <w:rPr>
                <w:rFonts w:asciiTheme="majorBidi" w:hAnsiTheme="majorBidi" w:cstheme="majorBidi"/>
                <w:b/>
                <w:bCs/>
                <w:sz w:val="20"/>
                <w:szCs w:val="20"/>
                <w:lang w:bidi="ar-EG"/>
              </w:rPr>
              <w:t>a</w:t>
            </w:r>
            <w:r w:rsidRPr="007A1E51">
              <w:rPr>
                <w:rFonts w:asciiTheme="majorBidi" w:hAnsiTheme="majorBidi" w:cstheme="majorBidi"/>
                <w:b/>
                <w:bCs/>
                <w:sz w:val="20"/>
                <w:szCs w:val="20"/>
                <w:lang w:bidi="ar-EG"/>
              </w:rPr>
              <w:t>cid</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30</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100 ± 0.00</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100 ± 0.00</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88.26 ± 0.96</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20</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90.23 ± 0.85</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83.55 ± 0.81</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89.94 </w:t>
            </w:r>
            <w:r w:rsidRPr="00A1016C">
              <w:rPr>
                <w:rFonts w:asciiTheme="majorBidi" w:hAnsiTheme="majorBidi" w:cstheme="majorBidi"/>
                <w:sz w:val="18"/>
                <w:szCs w:val="18"/>
              </w:rPr>
              <w:t>± 0.13</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86.61 </w:t>
            </w:r>
            <w:r w:rsidRPr="00A1016C">
              <w:rPr>
                <w:rFonts w:asciiTheme="majorBidi" w:hAnsiTheme="majorBidi" w:cstheme="majorBidi"/>
                <w:sz w:val="18"/>
                <w:szCs w:val="18"/>
              </w:rPr>
              <w:t>± 0.13</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79.17 ± 0.12</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75.58 ± 0.07</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85.82 ± 0.00</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70.30 ± 0.03</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15</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83.63 ±0.86</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80.77 ± 1.02</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89.66 </w:t>
            </w:r>
            <w:r w:rsidRPr="00A1016C">
              <w:rPr>
                <w:rFonts w:asciiTheme="majorBidi" w:hAnsiTheme="majorBidi" w:cstheme="majorBidi"/>
                <w:sz w:val="18"/>
                <w:szCs w:val="18"/>
              </w:rPr>
              <w:t>± 0.13</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84.12 </w:t>
            </w:r>
            <w:r w:rsidRPr="00A1016C">
              <w:rPr>
                <w:rFonts w:asciiTheme="majorBidi" w:hAnsiTheme="majorBidi" w:cstheme="majorBidi"/>
                <w:sz w:val="18"/>
                <w:szCs w:val="18"/>
              </w:rPr>
              <w:t>± 0.34</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67.80 ± 0.00</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60.27 ± 0.00</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86.56 ± 0.00</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60.99 ± 0.94</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10</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70.03 ± 0.99</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73.42 ± 0.85</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89.01 </w:t>
            </w:r>
            <w:r w:rsidRPr="00A1016C">
              <w:rPr>
                <w:rFonts w:asciiTheme="majorBidi" w:hAnsiTheme="majorBidi" w:cstheme="majorBidi"/>
                <w:sz w:val="18"/>
                <w:szCs w:val="18"/>
              </w:rPr>
              <w:t>± 0.15</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80.70 </w:t>
            </w:r>
            <w:r w:rsidRPr="00A1016C">
              <w:rPr>
                <w:rFonts w:asciiTheme="majorBidi" w:hAnsiTheme="majorBidi" w:cstheme="majorBidi"/>
                <w:sz w:val="18"/>
                <w:szCs w:val="18"/>
              </w:rPr>
              <w:t>± 1.39</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61.35 ± 0.09</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43.13 ± 0.15</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83.06 ± 0.09</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40.27 ± 0.05</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5</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56.19 ± 0.25</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45.21 ± 0.89</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87.90 </w:t>
            </w:r>
            <w:r w:rsidRPr="00A1016C">
              <w:rPr>
                <w:rFonts w:asciiTheme="majorBidi" w:hAnsiTheme="majorBidi" w:cstheme="majorBidi"/>
                <w:sz w:val="18"/>
                <w:szCs w:val="18"/>
              </w:rPr>
              <w:t>± 0.15</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74.79 </w:t>
            </w:r>
            <w:r w:rsidRPr="00A1016C">
              <w:rPr>
                <w:rFonts w:asciiTheme="majorBidi" w:hAnsiTheme="majorBidi" w:cstheme="majorBidi"/>
                <w:sz w:val="18"/>
                <w:szCs w:val="18"/>
              </w:rPr>
              <w:t>± 0.00</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40.87 ± 0.09</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34.86 ± 0.00</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81.88 ± 0.09</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33.29 ± 0.07</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2.5</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20.52 ± 0.65</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24.2 ± 0.85</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62.40 </w:t>
            </w:r>
            <w:r w:rsidRPr="00A1016C">
              <w:rPr>
                <w:rFonts w:asciiTheme="majorBidi" w:hAnsiTheme="majorBidi" w:cstheme="majorBidi"/>
                <w:sz w:val="18"/>
                <w:szCs w:val="18"/>
              </w:rPr>
              <w:t>± 0.11</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50.23 </w:t>
            </w:r>
            <w:r w:rsidRPr="00A1016C">
              <w:rPr>
                <w:rFonts w:asciiTheme="majorBidi" w:hAnsiTheme="majorBidi" w:cstheme="majorBidi"/>
                <w:sz w:val="18"/>
                <w:szCs w:val="18"/>
              </w:rPr>
              <w:t>± 0.13</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75.37 ± 0.23</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1.5</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55.59 </w:t>
            </w:r>
            <w:r w:rsidRPr="00A1016C">
              <w:rPr>
                <w:rFonts w:asciiTheme="majorBidi" w:hAnsiTheme="majorBidi" w:cstheme="majorBidi"/>
                <w:sz w:val="18"/>
                <w:szCs w:val="18"/>
              </w:rPr>
              <w:t>± 0.23</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41.33 </w:t>
            </w:r>
            <w:r w:rsidRPr="00A1016C">
              <w:rPr>
                <w:rFonts w:asciiTheme="majorBidi" w:hAnsiTheme="majorBidi" w:cstheme="majorBidi"/>
                <w:sz w:val="18"/>
                <w:szCs w:val="18"/>
              </w:rPr>
              <w:t>± 0.09</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69.48 ± 0.30</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sz w:val="18"/>
                <w:szCs w:val="18"/>
              </w:rPr>
            </w:pPr>
            <w:r w:rsidRPr="00A1016C">
              <w:rPr>
                <w:rFonts w:asciiTheme="majorBidi" w:hAnsiTheme="majorBidi" w:cstheme="majorBidi"/>
                <w:b/>
                <w:bCs/>
                <w:sz w:val="18"/>
                <w:szCs w:val="18"/>
              </w:rPr>
              <w:t>1</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46.26 </w:t>
            </w:r>
            <w:r w:rsidRPr="00A1016C">
              <w:rPr>
                <w:rFonts w:asciiTheme="majorBidi" w:hAnsiTheme="majorBidi" w:cstheme="majorBidi"/>
                <w:sz w:val="18"/>
                <w:szCs w:val="18"/>
              </w:rPr>
              <w:t>± 0.11</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color w:val="000000"/>
                <w:sz w:val="18"/>
                <w:szCs w:val="18"/>
              </w:rPr>
            </w:pPr>
            <w:r w:rsidRPr="00A1016C">
              <w:rPr>
                <w:rFonts w:asciiTheme="majorBidi" w:hAnsiTheme="majorBidi" w:cstheme="majorBidi"/>
                <w:color w:val="000000"/>
                <w:sz w:val="18"/>
                <w:szCs w:val="18"/>
              </w:rPr>
              <w:t xml:space="preserve">31.25 </w:t>
            </w:r>
            <w:r w:rsidRPr="00A1016C">
              <w:rPr>
                <w:rFonts w:asciiTheme="majorBidi" w:hAnsiTheme="majorBidi" w:cstheme="majorBidi"/>
                <w:sz w:val="18"/>
                <w:szCs w:val="18"/>
              </w:rPr>
              <w:t>± 0.01</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55.59 ± 0.23</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Pr>
                <w:rFonts w:asciiTheme="majorBidi" w:hAnsiTheme="majorBidi" w:cstheme="majorBidi"/>
                <w:sz w:val="18"/>
                <w:szCs w:val="18"/>
              </w:rPr>
              <w:t>-</w:t>
            </w:r>
          </w:p>
        </w:tc>
      </w:tr>
      <w:tr w:rsidR="004C3263" w:rsidRPr="00A1016C" w:rsidTr="004C3263">
        <w:trPr>
          <w:trHeight w:val="288"/>
        </w:trPr>
        <w:tc>
          <w:tcPr>
            <w:tcW w:w="1307" w:type="dxa"/>
            <w:tcBorders>
              <w:top w:val="nil"/>
              <w:left w:val="single" w:sz="4" w:space="0" w:color="auto"/>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b/>
                <w:bCs/>
                <w:color w:val="000000"/>
                <w:sz w:val="18"/>
                <w:szCs w:val="18"/>
              </w:rPr>
            </w:pPr>
            <w:r w:rsidRPr="00A1016C">
              <w:rPr>
                <w:rFonts w:asciiTheme="majorBidi" w:hAnsiTheme="majorBidi" w:cstheme="majorBidi"/>
                <w:b/>
                <w:bCs/>
                <w:color w:val="000000"/>
                <w:sz w:val="18"/>
                <w:szCs w:val="18"/>
              </w:rPr>
              <w:t>IC50</w:t>
            </w:r>
          </w:p>
        </w:tc>
        <w:tc>
          <w:tcPr>
            <w:tcW w:w="1243"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5.043</w:t>
            </w:r>
          </w:p>
        </w:tc>
        <w:tc>
          <w:tcPr>
            <w:tcW w:w="1236"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5.482</w:t>
            </w:r>
          </w:p>
        </w:tc>
        <w:tc>
          <w:tcPr>
            <w:tcW w:w="1224"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1.194</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2.199</w:t>
            </w:r>
          </w:p>
        </w:tc>
        <w:tc>
          <w:tcPr>
            <w:tcW w:w="135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0.5323</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5.643</w:t>
            </w:r>
          </w:p>
        </w:tc>
        <w:tc>
          <w:tcPr>
            <w:tcW w:w="117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0.6639</w:t>
            </w:r>
          </w:p>
        </w:tc>
        <w:tc>
          <w:tcPr>
            <w:tcW w:w="1260" w:type="dxa"/>
            <w:tcBorders>
              <w:top w:val="nil"/>
              <w:left w:val="nil"/>
              <w:bottom w:val="single" w:sz="4" w:space="0" w:color="auto"/>
              <w:right w:val="single" w:sz="4" w:space="0" w:color="auto"/>
            </w:tcBorders>
            <w:shd w:val="clear" w:color="auto" w:fill="auto"/>
            <w:noWrap/>
            <w:vAlign w:val="center"/>
            <w:hideMark/>
          </w:tcPr>
          <w:p w:rsidR="004C3263" w:rsidRPr="00A1016C" w:rsidRDefault="004C3263" w:rsidP="004C3263">
            <w:pPr>
              <w:spacing w:after="0" w:line="240" w:lineRule="auto"/>
              <w:jc w:val="center"/>
              <w:rPr>
                <w:rFonts w:asciiTheme="majorBidi" w:hAnsiTheme="majorBidi" w:cstheme="majorBidi"/>
                <w:sz w:val="18"/>
                <w:szCs w:val="18"/>
              </w:rPr>
            </w:pPr>
            <w:r w:rsidRPr="00A1016C">
              <w:rPr>
                <w:rFonts w:asciiTheme="majorBidi" w:hAnsiTheme="majorBidi" w:cstheme="majorBidi"/>
                <w:sz w:val="18"/>
                <w:szCs w:val="18"/>
              </w:rPr>
              <w:t>9.774</w:t>
            </w:r>
          </w:p>
        </w:tc>
      </w:tr>
    </w:tbl>
    <w:p w:rsidR="004C3263" w:rsidRPr="00C65636" w:rsidRDefault="004C3263" w:rsidP="004C3263">
      <w:pPr>
        <w:pStyle w:val="ListParagraph"/>
        <w:bidi w:val="0"/>
        <w:spacing w:after="0" w:line="240" w:lineRule="auto"/>
        <w:rPr>
          <w:rFonts w:asciiTheme="majorBidi" w:eastAsia="SimSun" w:hAnsiTheme="majorBidi" w:cstheme="majorBidi"/>
          <w:sz w:val="24"/>
          <w:szCs w:val="24"/>
          <w:lang w:bidi="hi-IN"/>
        </w:rPr>
      </w:pPr>
    </w:p>
    <w:p w:rsidR="00120DE2" w:rsidRDefault="00120DE2" w:rsidP="00B11C03">
      <w:pPr>
        <w:tabs>
          <w:tab w:val="left" w:pos="3161"/>
        </w:tabs>
        <w:rPr>
          <w:rFonts w:asciiTheme="majorBidi" w:hAnsiTheme="majorBidi" w:cstheme="majorBidi"/>
        </w:rPr>
      </w:pPr>
    </w:p>
    <w:p w:rsidR="002973F1" w:rsidRDefault="002973F1" w:rsidP="00B11C03">
      <w:pPr>
        <w:tabs>
          <w:tab w:val="left" w:pos="3161"/>
        </w:tabs>
        <w:rPr>
          <w:rFonts w:asciiTheme="majorBidi" w:hAnsiTheme="majorBidi" w:cstheme="majorBidi"/>
        </w:rPr>
      </w:pPr>
    </w:p>
    <w:p w:rsidR="002973F1" w:rsidRPr="00314AB8" w:rsidRDefault="002973F1" w:rsidP="00B11C03">
      <w:pPr>
        <w:tabs>
          <w:tab w:val="left" w:pos="3161"/>
        </w:tabs>
        <w:rPr>
          <w:rFonts w:asciiTheme="majorBidi" w:hAnsiTheme="majorBidi" w:cstheme="majorBidi"/>
          <w:b/>
          <w:bCs/>
          <w:sz w:val="24"/>
          <w:szCs w:val="24"/>
        </w:rPr>
      </w:pPr>
      <w:r w:rsidRPr="00314AB8">
        <w:rPr>
          <w:rFonts w:asciiTheme="majorBidi" w:hAnsiTheme="majorBidi" w:cstheme="majorBidi"/>
          <w:b/>
          <w:bCs/>
          <w:sz w:val="24"/>
          <w:szCs w:val="24"/>
        </w:rPr>
        <w:t xml:space="preserve">LCMSMS in Details </w:t>
      </w:r>
    </w:p>
    <w:p w:rsidR="002973F1" w:rsidRPr="008A741D" w:rsidRDefault="002973F1" w:rsidP="002973F1">
      <w:pPr>
        <w:suppressAutoHyphens/>
        <w:spacing w:after="0" w:line="240" w:lineRule="auto"/>
        <w:ind w:firstLine="720"/>
        <w:jc w:val="both"/>
        <w:rPr>
          <w:rFonts w:asciiTheme="majorBidi" w:hAnsiTheme="majorBidi" w:cstheme="majorBidi"/>
          <w:sz w:val="24"/>
          <w:szCs w:val="24"/>
          <w:lang w:eastAsia="ar-SA"/>
        </w:rPr>
      </w:pPr>
      <w:r w:rsidRPr="008A741D">
        <w:rPr>
          <w:rFonts w:ascii="Times New Roman" w:hAnsi="Times New Roman" w:cs="Times New Roman"/>
          <w:sz w:val="24"/>
          <w:szCs w:val="24"/>
        </w:rPr>
        <w:t xml:space="preserve">An ion-trap mass spectrometer (Esquire 3000, Bruker Daltonics) equipped with an electrospray ionization (ESI) source was used for liquid chromatography-mass spectrometry (LC-MS) analysis. The instrument was operated in both positive and negative ion modes. Key parameters included a nebulizer pressure of 30 psi, nitrogen (N₂) as the dry gas at 9.0 L/min, and a dry gas temperature of 310 °C. The skimmer voltage was set to –10.0 V. Data were acquired over a mass-to-charge (m/z) range of 150–3000 with a scan rate of 13,000 m/z/s </w:t>
      </w:r>
      <w:r w:rsidRPr="00F0082B">
        <w:rPr>
          <w:rFonts w:asciiTheme="majorBidi" w:hAnsiTheme="majorBidi" w:cstheme="majorBidi"/>
          <w:sz w:val="24"/>
          <w:szCs w:val="24"/>
          <w:lang w:eastAsia="ar-SA"/>
        </w:rPr>
        <w:fldChar w:fldCharType="begin"/>
      </w:r>
      <w:r>
        <w:rPr>
          <w:rFonts w:asciiTheme="majorBidi" w:hAnsiTheme="majorBidi" w:cstheme="majorBidi"/>
          <w:sz w:val="24"/>
          <w:szCs w:val="24"/>
          <w:lang w:eastAsia="ar-SA"/>
        </w:rPr>
        <w:instrText xml:space="preserve"> ADDIN EN.CITE &lt;EndNote&gt;&lt;Cite&gt;&lt;Author&gt;Piasecka&lt;/Author&gt;&lt;Year&gt;2015&lt;/Year&gt;&lt;RecNum&gt;13&lt;/RecNum&gt;&lt;DisplayText&gt;[26, 27]&lt;/DisplayText&gt;&lt;record&gt;&lt;rec-number&gt;13&lt;/rec-number&gt;&lt;foreign-keys&gt;&lt;key app="EN" db-id="xtd0w2ven0dzwpe9vx1xe55gzts925fez5er" timestamp="1605549485"&gt;13&lt;/key&gt;&lt;/foreign-keys&gt;&lt;ref-type name="Journal Article"&gt;17&lt;/ref-type&gt;&lt;contributors&gt;&lt;authors&gt;&lt;author&gt;Piasecka, Anna&lt;/author&gt;&lt;author&gt;Sawikowska, Aneta&lt;/author&gt;&lt;author&gt;Krajewski, Paweł&lt;/author&gt;&lt;author&gt;Kachlicki, Piotr&lt;/author&gt;&lt;/authors&gt;&lt;/contributors&gt;&lt;titles&gt;&lt;title&gt;Combined mass spectrometric and chromatographic methods for in‐depth analysis of phenolic secondary metabolites in barley leaves&lt;/title&gt;&lt;secondary-title&gt;Journal of Mass Spectrometry&lt;/secondary-title&gt;&lt;/titles&gt;&lt;periodical&gt;&lt;full-title&gt;Journal of Mass Spectrometry&lt;/full-title&gt;&lt;/periodical&gt;&lt;pages&gt;513-532&lt;/pages&gt;&lt;volume&gt;50&lt;/volume&gt;&lt;number&gt;3&lt;/number&gt;&lt;dates&gt;&lt;year&gt;2015&lt;/year&gt;&lt;/dates&gt;&lt;isbn&gt;1076-5174&lt;/isbn&gt;&lt;urls&gt;&lt;/urls&gt;&lt;/record&gt;&lt;/Cite&gt;&lt;Cite&gt;&lt;Author&gt;Mohammed&lt;/Author&gt;&lt;Year&gt;2021&lt;/Year&gt;&lt;RecNum&gt;215&lt;/RecNum&gt;&lt;record&gt;&lt;rec-number&gt;215&lt;/rec-number&gt;&lt;foreign-keys&gt;&lt;key app="EN" db-id="vf2st059srefx1eaxpdp2fpdwpwpvravsevd" timestamp="1621393960"&gt;215&lt;/key&gt;&lt;/foreign-keys&gt;&lt;ref-type name="Journal Article"&gt;17&lt;/ref-type&gt;&lt;contributors&gt;&lt;authors&gt;&lt;author&gt;Mohammed, Mona A&lt;/author&gt;&lt;author&gt;Attia, Hanan Naeim&lt;/author&gt;&lt;author&gt;El-Gengaihi, Souad E&lt;/author&gt;&lt;author&gt;Maklad, Yousreya A&lt;/author&gt;&lt;author&gt;Ahmed, Kawkab A&lt;/author&gt;&lt;author&gt;Kachlicki, Piotr&lt;/author&gt;&lt;/authors&gt;&lt;/contributors&gt;&lt;titles&gt;&lt;title&gt;Comprehensive Metabolomic, Lipidomic and Pathological Profiles of Baobab (Adansonia digitata) Fruit pulp Extracts in Diabetic Rats&lt;/title&gt;&lt;secondary-title&gt;Journal of Pharmaceutical and Biomedical Analysis&lt;/secondary-title&gt;&lt;/titles&gt;&lt;periodical&gt;&lt;full-title&gt;Journal of Pharmaceutical and Biomedical Analysis&lt;/full-title&gt;&lt;/periodical&gt;&lt;pages&gt;114139&lt;/pages&gt;&lt;dates&gt;&lt;year&gt;2021&lt;/year&gt;&lt;/dates&gt;&lt;isbn&gt;0731-7085&lt;/isbn&gt;&lt;urls&gt;&lt;/urls&gt;&lt;/record&gt;&lt;/Cite&gt;&lt;/EndNote&gt;</w:instrText>
      </w:r>
      <w:r w:rsidRPr="00F0082B">
        <w:rPr>
          <w:rFonts w:asciiTheme="majorBidi" w:hAnsiTheme="majorBidi" w:cstheme="majorBidi"/>
          <w:sz w:val="24"/>
          <w:szCs w:val="24"/>
          <w:lang w:eastAsia="ar-SA"/>
        </w:rPr>
        <w:fldChar w:fldCharType="separate"/>
      </w:r>
      <w:r>
        <w:rPr>
          <w:rFonts w:asciiTheme="majorBidi" w:hAnsiTheme="majorBidi" w:cstheme="majorBidi"/>
          <w:noProof/>
          <w:sz w:val="24"/>
          <w:szCs w:val="24"/>
          <w:lang w:eastAsia="ar-SA"/>
        </w:rPr>
        <w:t>[26, 27]</w:t>
      </w:r>
      <w:r w:rsidRPr="00F0082B">
        <w:rPr>
          <w:rFonts w:asciiTheme="majorBidi" w:hAnsiTheme="majorBidi" w:cstheme="majorBidi"/>
          <w:sz w:val="24"/>
          <w:szCs w:val="24"/>
          <w:lang w:eastAsia="ar-SA"/>
        </w:rPr>
        <w:fldChar w:fldCharType="end"/>
      </w:r>
      <w:r w:rsidRPr="00F0082B">
        <w:rPr>
          <w:rFonts w:asciiTheme="majorBidi" w:hAnsiTheme="majorBidi" w:cstheme="majorBidi"/>
          <w:sz w:val="24"/>
          <w:szCs w:val="24"/>
          <w:lang w:eastAsia="ar-SA"/>
        </w:rPr>
        <w:t>.</w:t>
      </w:r>
    </w:p>
    <w:p w:rsidR="002973F1" w:rsidRDefault="002973F1" w:rsidP="002973F1">
      <w:pPr>
        <w:spacing w:after="0" w:line="240" w:lineRule="auto"/>
        <w:ind w:firstLine="720"/>
        <w:jc w:val="both"/>
        <w:rPr>
          <w:rFonts w:asciiTheme="majorBidi" w:hAnsiTheme="majorBidi" w:cstheme="majorBidi"/>
          <w:sz w:val="24"/>
          <w:szCs w:val="24"/>
        </w:rPr>
      </w:pPr>
      <w:r w:rsidRPr="008A741D">
        <w:rPr>
          <w:rFonts w:ascii="Times New Roman" w:hAnsi="Times New Roman" w:cs="Times New Roman"/>
          <w:sz w:val="24"/>
          <w:szCs w:val="24"/>
        </w:rPr>
        <w:t xml:space="preserve">High-resolution profiling was performed using ultra-performance liquid chromatography (UPLC; Acquity </w:t>
      </w:r>
      <w:r w:rsidRPr="00A440B4">
        <w:rPr>
          <w:rFonts w:ascii="Times New Roman" w:hAnsi="Times New Roman" w:cs="Times New Roman"/>
          <w:sz w:val="24"/>
          <w:szCs w:val="24"/>
        </w:rPr>
        <w:t xml:space="preserve">System, Waters, USA) coupled with a hybrid quadrupole-Orbitrap mass spectrometer (Q-Exactive, Thermo Fisher Scientific, Germany). Separation was achieved on a BEH Shield RP18 column (150 × 2.1 mm, 1.7 μm) using a binary solvent system of 0.1% formic acid in deionized water (Solvent A) and acetonitrile (Solvent B). The elution gradient was programmed as follows: 5–50% B (0–14 min), ramped to 98% B (14–20 min), held for 5 min, </w:t>
      </w:r>
      <w:r w:rsidRPr="00A440B4">
        <w:rPr>
          <w:rFonts w:ascii="Times New Roman" w:hAnsi="Times New Roman" w:cs="Times New Roman"/>
          <w:sz w:val="24"/>
          <w:szCs w:val="24"/>
        </w:rPr>
        <w:lastRenderedPageBreak/>
        <w:t>followed by re-equilibration to initial conditions over 3 min. The flow rate was maintained at 0.4 mL/min. The Q-Exactive operated in both positive and negative modes with a heated ESI (HESI) source using a spray voltage of ±3.0 kV. Sheath gas flow (N₂) was set to 48 L/mi</w:t>
      </w:r>
      <w:r w:rsidRPr="00A440B4">
        <w:rPr>
          <w:rFonts w:asciiTheme="majorBidi" w:hAnsiTheme="majorBidi" w:cstheme="majorBidi"/>
          <w:sz w:val="24"/>
          <w:szCs w:val="24"/>
        </w:rPr>
        <w:t xml:space="preserve">n, auxiliary gas to 13 L/min, capillary temperature to 250 °C, and auxiliary heater temperature to 380 °C. Collision-induced dissociation (CID) experiments were performed at 15 eV </w:t>
      </w:r>
      <w:r w:rsidRPr="00A440B4">
        <w:rPr>
          <w:rFonts w:asciiTheme="majorBidi" w:hAnsiTheme="majorBidi" w:cstheme="majorBidi"/>
          <w:sz w:val="24"/>
          <w:szCs w:val="24"/>
          <w:lang w:eastAsia="ar-SA"/>
        </w:rPr>
        <w:fldChar w:fldCharType="begin"/>
      </w:r>
      <w:r>
        <w:rPr>
          <w:rFonts w:asciiTheme="majorBidi" w:hAnsiTheme="majorBidi" w:cstheme="majorBidi"/>
          <w:sz w:val="24"/>
          <w:szCs w:val="24"/>
          <w:lang w:eastAsia="ar-SA"/>
        </w:rPr>
        <w:instrText xml:space="preserve"> ADDIN EN.CITE &lt;EndNote&gt;&lt;Cite&gt;&lt;Author&gt;Mohammed&lt;/Author&gt;&lt;Year&gt;2021&lt;/Year&gt;&lt;RecNum&gt;215&lt;/RecNum&gt;&lt;DisplayText&gt;[27]&lt;/DisplayText&gt;&lt;record&gt;&lt;rec-number&gt;215&lt;/rec-number&gt;&lt;foreign-keys&gt;&lt;key app="EN" db-id="vf2st059srefx1eaxpdp2fpdwpwpvravsevd" timestamp="1621393960"&gt;215&lt;/key&gt;&lt;/foreign-keys&gt;&lt;ref-type name="Journal Article"&gt;17&lt;/ref-type&gt;&lt;contributors&gt;&lt;authors&gt;&lt;author&gt;Mohammed, Mona A&lt;/author&gt;&lt;author&gt;Attia, Hanan Naeim&lt;/author&gt;&lt;author&gt;El-Gengaihi, Souad E&lt;/author&gt;&lt;author&gt;Maklad, Yousreya A&lt;/author&gt;&lt;author&gt;Ahmed, Kawkab A&lt;/author&gt;&lt;author&gt;Kachlicki, Piotr&lt;/author&gt;&lt;/authors&gt;&lt;/contributors&gt;&lt;titles&gt;&lt;title&gt;Comprehensive Metabolomic, Lipidomic and Pathological Profiles of Baobab (Adansonia digitata) Fruit pulp Extracts in Diabetic Rats&lt;/title&gt;&lt;secondary-title&gt;Journal of Pharmaceutical and Biomedical Analysis&lt;/secondary-title&gt;&lt;/titles&gt;&lt;periodical&gt;&lt;full-title&gt;Journal of Pharmaceutical and Biomedical Analysis&lt;/full-title&gt;&lt;/periodical&gt;&lt;pages&gt;114139&lt;/pages&gt;&lt;dates&gt;&lt;year&gt;2021&lt;/year&gt;&lt;/dates&gt;&lt;isbn&gt;0731-7085&lt;/isbn&gt;&lt;urls&gt;&lt;/urls&gt;&lt;/record&gt;&lt;/Cite&gt;&lt;/EndNote&gt;</w:instrText>
      </w:r>
      <w:r w:rsidRPr="00A440B4">
        <w:rPr>
          <w:rFonts w:asciiTheme="majorBidi" w:hAnsiTheme="majorBidi" w:cstheme="majorBidi"/>
          <w:sz w:val="24"/>
          <w:szCs w:val="24"/>
          <w:lang w:eastAsia="ar-SA"/>
        </w:rPr>
        <w:fldChar w:fldCharType="separate"/>
      </w:r>
      <w:r>
        <w:rPr>
          <w:rFonts w:asciiTheme="majorBidi" w:hAnsiTheme="majorBidi" w:cstheme="majorBidi"/>
          <w:noProof/>
          <w:sz w:val="24"/>
          <w:szCs w:val="24"/>
          <w:lang w:eastAsia="ar-SA"/>
        </w:rPr>
        <w:t>[27]</w:t>
      </w:r>
      <w:r w:rsidRPr="00A440B4">
        <w:rPr>
          <w:rFonts w:asciiTheme="majorBidi" w:hAnsiTheme="majorBidi" w:cstheme="majorBidi"/>
          <w:sz w:val="24"/>
          <w:szCs w:val="24"/>
          <w:lang w:eastAsia="ar-SA"/>
        </w:rPr>
        <w:fldChar w:fldCharType="end"/>
      </w:r>
      <w:r w:rsidRPr="00A440B4">
        <w:rPr>
          <w:rFonts w:asciiTheme="majorBidi" w:hAnsiTheme="majorBidi" w:cstheme="majorBidi"/>
          <w:sz w:val="24"/>
          <w:szCs w:val="24"/>
          <w:lang w:eastAsia="ar-SA"/>
        </w:rPr>
        <w:t xml:space="preserve">. </w:t>
      </w:r>
      <w:r w:rsidRPr="00A440B4">
        <w:rPr>
          <w:rFonts w:asciiTheme="majorBidi" w:hAnsiTheme="majorBidi" w:cstheme="majorBidi"/>
          <w:sz w:val="24"/>
          <w:szCs w:val="24"/>
        </w:rPr>
        <w:t xml:space="preserve">Mass spectral fragmentations of </w:t>
      </w:r>
      <w:r w:rsidRPr="00AB5237">
        <w:rPr>
          <w:rFonts w:asciiTheme="majorBidi" w:hAnsiTheme="majorBidi" w:cstheme="majorBidi"/>
          <w:sz w:val="24"/>
          <w:szCs w:val="24"/>
        </w:rPr>
        <w:t>60</w:t>
      </w:r>
      <w:r w:rsidRPr="00A440B4">
        <w:rPr>
          <w:rFonts w:asciiTheme="majorBidi" w:hAnsiTheme="majorBidi" w:cstheme="majorBidi"/>
          <w:sz w:val="24"/>
          <w:szCs w:val="24"/>
        </w:rPr>
        <w:t xml:space="preserve"> ion mobility MS/MS scans were processed using MS-DIAL 4.60 after conversion to ABF format. Metabolites were identified by comparing fragmentation patterns and retention indices with reference databases (MassBank</w:t>
      </w:r>
      <w:r>
        <w:rPr>
          <w:rFonts w:asciiTheme="majorBidi" w:hAnsiTheme="majorBidi" w:cstheme="majorBidi"/>
          <w:sz w:val="24"/>
          <w:szCs w:val="24"/>
        </w:rPr>
        <w:t>, Knapsack</w:t>
      </w:r>
      <w:r w:rsidRPr="00A440B4">
        <w:rPr>
          <w:rFonts w:asciiTheme="majorBidi" w:hAnsiTheme="majorBidi" w:cstheme="majorBidi"/>
          <w:sz w:val="24"/>
          <w:szCs w:val="24"/>
        </w:rPr>
        <w:t xml:space="preserve"> </w:t>
      </w:r>
      <w:r>
        <w:rPr>
          <w:rFonts w:asciiTheme="majorBidi" w:hAnsiTheme="majorBidi" w:cstheme="majorBidi"/>
          <w:sz w:val="24"/>
          <w:szCs w:val="24"/>
        </w:rPr>
        <w:t>Golm, Fiehn Bin Base</w:t>
      </w:r>
      <w:r w:rsidRPr="00A440B4">
        <w:rPr>
          <w:rFonts w:asciiTheme="majorBidi" w:hAnsiTheme="majorBidi" w:cstheme="majorBidi"/>
          <w:sz w:val="24"/>
          <w:szCs w:val="24"/>
        </w:rPr>
        <w:t>, RIKEN</w:t>
      </w:r>
      <w:r>
        <w:rPr>
          <w:rFonts w:asciiTheme="majorBidi" w:hAnsiTheme="majorBidi" w:cstheme="majorBidi"/>
          <w:sz w:val="24"/>
          <w:szCs w:val="24"/>
        </w:rPr>
        <w:t xml:space="preserve">, </w:t>
      </w:r>
      <w:r w:rsidRPr="00A440B4">
        <w:rPr>
          <w:rFonts w:asciiTheme="majorBidi" w:hAnsiTheme="majorBidi" w:cstheme="majorBidi"/>
          <w:sz w:val="24"/>
          <w:szCs w:val="24"/>
        </w:rPr>
        <w:t xml:space="preserve">LipidBlast) </w:t>
      </w:r>
      <w:r w:rsidRPr="00A440B4">
        <w:rPr>
          <w:rFonts w:asciiTheme="majorBidi" w:hAnsiTheme="majorBidi" w:cstheme="majorBidi"/>
          <w:sz w:val="24"/>
          <w:szCs w:val="24"/>
          <w:lang w:eastAsia="ar-SA"/>
        </w:rPr>
        <w:fldChar w:fldCharType="begin"/>
      </w:r>
      <w:r>
        <w:rPr>
          <w:rFonts w:asciiTheme="majorBidi" w:hAnsiTheme="majorBidi" w:cstheme="majorBidi"/>
          <w:sz w:val="24"/>
          <w:szCs w:val="24"/>
          <w:lang w:eastAsia="ar-SA"/>
        </w:rPr>
        <w:instrText xml:space="preserve"> ADDIN EN.CITE &lt;EndNote&gt;&lt;Cite&gt;&lt;Author&gt;Tsugawa&lt;/Author&gt;&lt;Year&gt;2020&lt;/Year&gt;&lt;RecNum&gt;7&lt;/RecNum&gt;&lt;DisplayText&gt;[28, 29]&lt;/DisplayText&gt;&lt;record&gt;&lt;rec-number&gt;7&lt;/rec-number&gt;&lt;foreign-keys&gt;&lt;key app="EN" db-id="vf2st059srefx1eaxpdp2fpdwpwpvravsevd" timestamp="1615745937"&gt;7&lt;/key&gt;&lt;/foreign-keys&gt;&lt;ref-type name="Journal Article"&gt;17&lt;/ref-type&gt;&lt;contributors&gt;&lt;authors&gt;&lt;author&gt;Tsugawa, Hiroshi&lt;/author&gt;&lt;author&gt;Ikeda, Kazutaka&lt;/author&gt;&lt;author&gt;Takahashi, Mikiko&lt;/author&gt;&lt;author&gt;Satoh, Aya&lt;/author&gt;&lt;author&gt;Mori, Yoshifumi&lt;/author&gt;&lt;author&gt;Uchino, Haruki&lt;/author&gt;&lt;author&gt;Okahashi, Nobuyuki&lt;/author&gt;&lt;author&gt;Yamada, Yutaka&lt;/author&gt;&lt;author&gt;Tada, Ipputa&lt;/author&gt;&lt;author&gt;Bonini, Paolo&lt;/author&gt;&lt;/authors&gt;&lt;/contributors&gt;&lt;titles&gt;&lt;title&gt;MS-DIAL 4: accelerating lipidomics using an MS/MS, CCS, and retention time atlas&lt;/title&gt;&lt;secondary-title&gt;bioRxiv&lt;/secondary-title&gt;&lt;/titles&gt;&lt;periodical&gt;&lt;full-title&gt;bioRxiv&lt;/full-title&gt;&lt;/periodical&gt;&lt;dates&gt;&lt;year&gt;2020&lt;/year&gt;&lt;/dates&gt;&lt;urls&gt;&lt;/urls&gt;&lt;/record&gt;&lt;/Cite&gt;&lt;Cite&gt;&lt;Author&gt;Ammar&lt;/Author&gt;&lt;Year&gt;2021&lt;/Year&gt;&lt;RecNum&gt;209&lt;/RecNum&gt;&lt;record&gt;&lt;rec-number&gt;209&lt;/rec-number&gt;&lt;foreign-keys&gt;&lt;key app="EN" db-id="vf2st059srefx1eaxpdp2fpdwpwpvravsevd" timestamp="1620096840"&gt;209&lt;/key&gt;&lt;/foreign-keys&gt;&lt;ref-type name="Journal Article"&gt;17&lt;/ref-type&gt;&lt;contributors&gt;&lt;authors&gt;&lt;author&gt;Ammar, Naglaa M&lt;/author&gt;&lt;author&gt;Hassan, Heba A&lt;/author&gt;&lt;author&gt;Mohammed, Mona A&lt;/author&gt;&lt;author&gt;Serag, Ahmed&lt;/author&gt;&lt;author&gt;Abd El-Alim, Sameh Hosam&lt;/author&gt;&lt;author&gt;Elmotasem, Heba&lt;/author&gt;&lt;author&gt;El Raey, Mohamed&lt;/author&gt;&lt;author&gt;El Gendy, Abdel Nasser&lt;/author&gt;&lt;author&gt;Sobeh, Mansour&lt;/author&gt;&lt;author&gt;Abdel-Hamid, Abdel-Hamid Z&lt;/author&gt;&lt;/authors&gt;&lt;/contributors&gt;&lt;titles&gt;&lt;title&gt;Metabolomic profiling to reveal the therapeutic potency of Posidonia oceanica nanoparticles in diabetic rats&lt;/title&gt;&lt;secondary-title&gt;RSC Advances&lt;/secondary-title&gt;&lt;/titles&gt;&lt;periodical&gt;&lt;full-title&gt;RSC Advances&lt;/full-title&gt;&lt;/periodical&gt;&lt;pages&gt;8398-8410&lt;/pages&gt;&lt;volume&gt;11&lt;/volume&gt;&lt;number&gt;14&lt;/number&gt;&lt;dates&gt;&lt;year&gt;2021&lt;/year&gt;&lt;/dates&gt;&lt;urls&gt;&lt;/urls&gt;&lt;/record&gt;&lt;/Cite&gt;&lt;/EndNote&gt;</w:instrText>
      </w:r>
      <w:r w:rsidRPr="00A440B4">
        <w:rPr>
          <w:rFonts w:asciiTheme="majorBidi" w:hAnsiTheme="majorBidi" w:cstheme="majorBidi"/>
          <w:sz w:val="24"/>
          <w:szCs w:val="24"/>
          <w:lang w:eastAsia="ar-SA"/>
        </w:rPr>
        <w:fldChar w:fldCharType="separate"/>
      </w:r>
      <w:r>
        <w:rPr>
          <w:rFonts w:asciiTheme="majorBidi" w:hAnsiTheme="majorBidi" w:cstheme="majorBidi"/>
          <w:noProof/>
          <w:sz w:val="24"/>
          <w:szCs w:val="24"/>
          <w:lang w:eastAsia="ar-SA"/>
        </w:rPr>
        <w:t>[28, 29]</w:t>
      </w:r>
      <w:r w:rsidRPr="00A440B4">
        <w:rPr>
          <w:rFonts w:asciiTheme="majorBidi" w:hAnsiTheme="majorBidi" w:cstheme="majorBidi"/>
          <w:sz w:val="24"/>
          <w:szCs w:val="24"/>
          <w:lang w:eastAsia="ar-SA"/>
        </w:rPr>
        <w:fldChar w:fldCharType="end"/>
      </w:r>
      <w:r w:rsidRPr="00A440B4">
        <w:rPr>
          <w:rFonts w:asciiTheme="majorBidi" w:hAnsiTheme="majorBidi" w:cstheme="majorBidi"/>
          <w:sz w:val="24"/>
          <w:szCs w:val="24"/>
          <w:lang w:eastAsia="ar-SA"/>
        </w:rPr>
        <w:t>.</w:t>
      </w:r>
    </w:p>
    <w:p w:rsidR="00C55B25" w:rsidRDefault="00C55B25" w:rsidP="004468B3">
      <w:pPr>
        <w:spacing w:after="0" w:line="240" w:lineRule="auto"/>
        <w:ind w:left="142"/>
        <w:jc w:val="both"/>
      </w:pPr>
    </w:p>
    <w:p w:rsidR="004468B3" w:rsidRPr="00C02425" w:rsidRDefault="00C02425" w:rsidP="004468B3">
      <w:pPr>
        <w:spacing w:after="0" w:line="240" w:lineRule="auto"/>
        <w:ind w:left="142"/>
        <w:jc w:val="both"/>
        <w:rPr>
          <w:rFonts w:asciiTheme="majorBidi" w:hAnsiTheme="majorBidi" w:cstheme="majorBidi"/>
          <w:b/>
          <w:i/>
          <w:iCs/>
          <w:sz w:val="24"/>
          <w:szCs w:val="24"/>
        </w:rPr>
      </w:pPr>
      <w:r w:rsidRPr="00C02425">
        <w:rPr>
          <w:rFonts w:asciiTheme="majorBidi" w:hAnsiTheme="majorBidi" w:cstheme="majorBidi"/>
          <w:sz w:val="24"/>
          <w:szCs w:val="24"/>
        </w:rPr>
        <w:t xml:space="preserve">MS-DIAL molecular spectrum networking was applied to facilitate metabolite annotation and visualization of fragmentation similarities. This approach allowed clustering of structurally related compounds and improved confidence in metabolite identification by integrating spectral alignment, retention time, and library matching. The networking results provided a comprehensive overview of molecular relationships within the dataset, enhancing interpretation of complex metabolomic profiles. </w:t>
      </w:r>
      <w:hyperlink r:id="rId10" w:history="1">
        <w:r w:rsidR="004468B3" w:rsidRPr="00C02425">
          <w:rPr>
            <w:rStyle w:val="Hyperlink"/>
            <w:rFonts w:asciiTheme="majorBidi" w:hAnsiTheme="majorBidi" w:cstheme="majorBidi"/>
            <w:sz w:val="24"/>
            <w:szCs w:val="24"/>
          </w:rPr>
          <w:t>MS-DIAL molecular spectrum networking</w:t>
        </w:r>
      </w:hyperlink>
    </w:p>
    <w:p w:rsidR="00EC11D6" w:rsidRDefault="00EC11D6" w:rsidP="00C02425">
      <w:pPr>
        <w:tabs>
          <w:tab w:val="left" w:pos="3161"/>
        </w:tabs>
        <w:rPr>
          <w:rStyle w:val="Strong"/>
          <w:rFonts w:asciiTheme="majorBidi" w:hAnsiTheme="majorBidi" w:cstheme="majorBidi"/>
          <w:sz w:val="24"/>
          <w:szCs w:val="24"/>
        </w:rPr>
      </w:pPr>
    </w:p>
    <w:p w:rsidR="000C751F" w:rsidRDefault="000C751F" w:rsidP="00C02425">
      <w:pPr>
        <w:tabs>
          <w:tab w:val="left" w:pos="3161"/>
        </w:tabs>
        <w:rPr>
          <w:rStyle w:val="Strong"/>
          <w:rFonts w:asciiTheme="majorBidi" w:hAnsiTheme="majorBidi" w:cstheme="majorBidi"/>
          <w:sz w:val="24"/>
          <w:szCs w:val="24"/>
        </w:rPr>
      </w:pPr>
    </w:p>
    <w:p w:rsidR="00C02425" w:rsidRPr="00C02425" w:rsidRDefault="00C02425" w:rsidP="00C02425">
      <w:pPr>
        <w:tabs>
          <w:tab w:val="left" w:pos="3161"/>
        </w:tabs>
        <w:rPr>
          <w:rFonts w:asciiTheme="majorBidi" w:hAnsiTheme="majorBidi" w:cstheme="majorBidi"/>
          <w:sz w:val="24"/>
          <w:szCs w:val="24"/>
        </w:rPr>
      </w:pPr>
      <w:r w:rsidRPr="00C02425">
        <w:rPr>
          <w:rStyle w:val="Strong"/>
          <w:rFonts w:asciiTheme="majorBidi" w:hAnsiTheme="majorBidi" w:cstheme="majorBidi"/>
          <w:sz w:val="24"/>
          <w:szCs w:val="24"/>
        </w:rPr>
        <w:t xml:space="preserve">Surface Morphology </w:t>
      </w:r>
      <w:r w:rsidRPr="00C02425">
        <w:rPr>
          <w:rStyle w:val="Strong"/>
          <w:rFonts w:asciiTheme="majorBidi" w:hAnsiTheme="majorBidi" w:cstheme="majorBidi"/>
          <w:b w:val="0"/>
          <w:bCs w:val="0"/>
          <w:i/>
          <w:iCs/>
          <w:sz w:val="24"/>
          <w:szCs w:val="24"/>
        </w:rPr>
        <w:t>(</w:t>
      </w:r>
      <w:r w:rsidRPr="00C02425">
        <w:rPr>
          <w:rStyle w:val="Emphasis"/>
          <w:rFonts w:asciiTheme="majorBidi" w:hAnsiTheme="majorBidi" w:cstheme="majorBidi"/>
          <w:b/>
          <w:bCs/>
          <w:i w:val="0"/>
          <w:iCs w:val="0"/>
          <w:sz w:val="24"/>
          <w:szCs w:val="24"/>
        </w:rPr>
        <w:t xml:space="preserve">SEM and TEM) </w:t>
      </w:r>
      <w:r w:rsidRPr="00C02425">
        <w:rPr>
          <w:rFonts w:asciiTheme="majorBidi" w:hAnsiTheme="majorBidi" w:cstheme="majorBidi"/>
          <w:b/>
          <w:bCs/>
          <w:sz w:val="24"/>
          <w:szCs w:val="24"/>
        </w:rPr>
        <w:t>in Details</w:t>
      </w:r>
      <w:r w:rsidRPr="00C02425">
        <w:rPr>
          <w:rFonts w:asciiTheme="majorBidi" w:hAnsiTheme="majorBidi" w:cstheme="majorBidi"/>
          <w:sz w:val="24"/>
          <w:szCs w:val="24"/>
        </w:rPr>
        <w:t xml:space="preserve"> </w:t>
      </w:r>
    </w:p>
    <w:p w:rsidR="00C02425" w:rsidRPr="00C02425" w:rsidRDefault="00C02425" w:rsidP="00C02425">
      <w:pPr>
        <w:pStyle w:val="NormalWeb"/>
        <w:spacing w:before="0" w:beforeAutospacing="0" w:after="0" w:afterAutospacing="0"/>
        <w:ind w:firstLine="720"/>
        <w:jc w:val="both"/>
        <w:rPr>
          <w:rFonts w:asciiTheme="majorBidi" w:hAnsiTheme="majorBidi" w:cstheme="majorBidi"/>
        </w:rPr>
      </w:pPr>
      <w:r w:rsidRPr="00C02425">
        <w:rPr>
          <w:rFonts w:asciiTheme="majorBidi" w:hAnsiTheme="majorBidi" w:cstheme="majorBidi"/>
        </w:rPr>
        <w:t xml:space="preserve">The morphological characteristics of the optimized NSs were examined using TEM (JEOL Co., JEM-2100, Japan). A drop of the diluted sample was placed on a carbon-coated copper grid and left to dry for 15 minutes at room temperature. The grid was then stained with 1% (w/v) phosphotungstic acid for three minutes before imaging. The samples were analyzed under TEM at different magnifications to assess surface features and overall shape </w:t>
      </w:r>
      <w:r w:rsidRPr="00C02425">
        <w:rPr>
          <w:rFonts w:asciiTheme="majorBidi" w:hAnsiTheme="majorBidi" w:cstheme="majorBidi"/>
        </w:rPr>
        <w:fldChar w:fldCharType="begin"/>
      </w:r>
      <w:r w:rsidRPr="00C02425">
        <w:rPr>
          <w:rFonts w:asciiTheme="majorBidi" w:hAnsiTheme="majorBidi" w:cstheme="majorBidi"/>
        </w:rPr>
        <w:instrText xml:space="preserve"> ADDIN EN.CITE &lt;EndNote&gt;&lt;Cite&gt;&lt;Author&gt;Swaminathan&lt;/Author&gt;&lt;Year&gt;2010&lt;/Year&gt;&lt;RecNum&gt;49&lt;/RecNum&gt;&lt;DisplayText&gt;[16]&lt;/DisplayText&gt;&lt;record&gt;&lt;rec-number&gt;49&lt;/rec-number&gt;&lt;foreign-keys&gt;&lt;key app="EN" db-id="9z9fp5z2wt9905eaaszped50aexres5dp9dr" timestamp="1554920227"&gt;49&lt;/key&gt;&lt;/foreign-keys&gt;&lt;ref-type name="Journal Article"&gt;17&lt;/ref-type&gt;&lt;contributors&gt;&lt;authors&gt;&lt;author&gt;Swaminathan, Shankar&lt;/author&gt;&lt;author&gt;Pastero, Linda&lt;/author&gt;&lt;author&gt;Serpe, Loredana&lt;/author&gt;&lt;author&gt;Trotta, Francesco&lt;/author&gt;&lt;author&gt;Vavia, Pradeep&lt;/author&gt;&lt;author&gt;Aquilano, Dino&lt;/author&gt;&lt;author&gt;Trotta, Michele&lt;/author&gt;&lt;author&gt;Zara, GianPaolo&lt;/author&gt;&lt;author&gt;Cavalli, Roberta&lt;/author&gt;&lt;/authors&gt;&lt;/contributors&gt;&lt;titles&gt;&lt;title&gt;Cyclodextrin-based nanosponges encapsulating camptothecin: physicochemical characterization, stability and cytotoxicity&lt;/title&gt;&lt;secondary-title&gt;European Journal of Pharmaceutics and Biopharmaceutics&lt;/secondary-title&gt;&lt;/titles&gt;&lt;periodical&gt;&lt;full-title&gt;European Journal of Pharmaceutics and Biopharmaceutics&lt;/full-title&gt;&lt;/periodical&gt;&lt;pages&gt;193-201&lt;/pages&gt;&lt;volume&gt;74&lt;/volume&gt;&lt;number&gt;2&lt;/number&gt;&lt;dates&gt;&lt;year&gt;2010&lt;/year&gt;&lt;/dates&gt;&lt;isbn&gt;0939-6411&lt;/isbn&gt;&lt;urls&gt;&lt;/urls&gt;&lt;/record&gt;&lt;/Cite&gt;&lt;/EndNote&gt;</w:instrText>
      </w:r>
      <w:r w:rsidRPr="00C02425">
        <w:rPr>
          <w:rFonts w:asciiTheme="majorBidi" w:hAnsiTheme="majorBidi" w:cstheme="majorBidi"/>
        </w:rPr>
        <w:fldChar w:fldCharType="separate"/>
      </w:r>
      <w:r w:rsidRPr="00C02425">
        <w:rPr>
          <w:rFonts w:asciiTheme="majorBidi" w:hAnsiTheme="majorBidi" w:cstheme="majorBidi"/>
          <w:noProof/>
        </w:rPr>
        <w:t>[16]</w:t>
      </w:r>
      <w:r w:rsidRPr="00C02425">
        <w:rPr>
          <w:rFonts w:asciiTheme="majorBidi" w:hAnsiTheme="majorBidi" w:cstheme="majorBidi"/>
        </w:rPr>
        <w:fldChar w:fldCharType="end"/>
      </w:r>
      <w:r w:rsidRPr="00C02425">
        <w:rPr>
          <w:rFonts w:asciiTheme="majorBidi" w:hAnsiTheme="majorBidi" w:cstheme="majorBidi"/>
        </w:rPr>
        <w:t>.</w:t>
      </w:r>
    </w:p>
    <w:p w:rsidR="00C02425" w:rsidRPr="00C02425" w:rsidRDefault="00C02425" w:rsidP="00C02425">
      <w:pPr>
        <w:pStyle w:val="NormalWeb"/>
        <w:spacing w:before="0" w:beforeAutospacing="0" w:after="0" w:afterAutospacing="0"/>
        <w:ind w:firstLine="720"/>
        <w:jc w:val="both"/>
        <w:rPr>
          <w:rFonts w:asciiTheme="majorBidi" w:hAnsiTheme="majorBidi" w:cstheme="majorBidi"/>
        </w:rPr>
      </w:pPr>
      <w:r w:rsidRPr="00C02425">
        <w:rPr>
          <w:rFonts w:asciiTheme="majorBidi" w:hAnsiTheme="majorBidi" w:cstheme="majorBidi"/>
        </w:rPr>
        <w:t xml:space="preserve">The surface structure of the optimized formulations was further investigated by SEM (Quanta FEG 250, Thermo Fisher Scientific Co., Czech Republic). Freeze-dried samples were fixed onto aluminum stubs with double-sided tape and coated with a thin layer of gold. Imaging was performed at a working distance of 10 mm with an accelerating voltage of 20 kV </w:t>
      </w:r>
      <w:r w:rsidRPr="00C02425">
        <w:rPr>
          <w:rFonts w:asciiTheme="majorBidi" w:hAnsiTheme="majorBidi" w:cstheme="majorBidi"/>
          <w:bCs/>
          <w:color w:val="000000"/>
        </w:rPr>
        <w:fldChar w:fldCharType="begin"/>
      </w:r>
      <w:r w:rsidRPr="00C02425">
        <w:rPr>
          <w:rFonts w:asciiTheme="majorBidi" w:hAnsiTheme="majorBidi" w:cstheme="majorBidi"/>
          <w:bCs/>
          <w:color w:val="000000"/>
        </w:rPr>
        <w:instrText xml:space="preserve"> ADDIN EN.CITE &lt;EndNote&gt;&lt;Cite&gt;&lt;Author&gt;Abou Taleb&lt;/Author&gt;&lt;Year&gt;2022&lt;/Year&gt;&lt;RecNum&gt;99&lt;/RecNum&gt;&lt;DisplayText&gt;[34]&lt;/DisplayText&gt;&lt;record&gt;&lt;rec-number&gt;99&lt;/rec-number&gt;&lt;foreign-keys&gt;&lt;key app="EN" db-id="9z9fp5z2wt9905eaaszped50aexres5dp9dr" timestamp="1692093699"&gt;99&lt;/key&gt;&lt;/foreign-keys&gt;&lt;ref-type name="Journal Article"&gt;17&lt;/ref-type&gt;&lt;contributors&gt;&lt;authors&gt;&lt;author&gt;Abou Taleb, S.&lt;/author&gt;&lt;author&gt;Moatasim, Y.&lt;/author&gt;&lt;author&gt;GabAllah, M.&lt;/author&gt;&lt;author&gt;Asfour, M. H.&lt;/author&gt;&lt;/authors&gt;&lt;/contributors&gt;&lt;auth-address&gt;Pharmaceutical Technology Department, National Research Centre, El-Buhouth Street, Dokki, Cairo, 12622, Egypt.&amp;#xD;Center of Scientific Excellence for Influenza Viruses, National Research Centre, El-Buhouth Street, Dokki, Cairo, 12622, Egypt.&lt;/auth-address&gt;&lt;titles&gt;&lt;title&gt;Quercitrin loaded cyclodextrin based nanosponge as a promising approach for management of lung cancer and COVID-19&lt;/title&gt;&lt;secondary-title&gt;J Drug Deliv Sci Technol&lt;/secondary-title&gt;&lt;alt-title&gt;Journal of drug delivery science and technology&lt;/alt-title&gt;&lt;/titles&gt;&lt;periodical&gt;&lt;full-title&gt;J Drug Deliv Sci Technol&lt;/full-title&gt;&lt;abbr-1&gt;Journal of drug delivery science and technology&lt;/abbr-1&gt;&lt;/periodical&gt;&lt;alt-periodical&gt;&lt;full-title&gt;J Drug Deliv Sci Technol&lt;/full-title&gt;&lt;abbr-1&gt;Journal of drug delivery science and technology&lt;/abbr-1&gt;&lt;/alt-periodical&gt;&lt;pages&gt;103921&lt;/pages&gt;&lt;volume&gt;77&lt;/volume&gt;&lt;edition&gt;2022/11/08&lt;/edition&gt;&lt;dates&gt;&lt;year&gt;2022&lt;/year&gt;&lt;pub-dates&gt;&lt;date&gt;Nov&lt;/date&gt;&lt;/pub-dates&gt;&lt;/dates&gt;&lt;isbn&gt;1773-2247 (Print)&amp;#xD;2588-8943 (Electronic)&amp;#xD;1773-2247 (Linking)&lt;/isbn&gt;&lt;accession-num&gt;36338534&lt;/accession-num&gt;&lt;urls&gt;&lt;/urls&gt;&lt;custom2&gt;PMC9616482&lt;/custom2&gt;&lt;electronic-resource-num&gt;10.1016/j.jddst.2022.103921&lt;/electronic-resource-num&gt;&lt;remote-database-provider&gt;NLM&lt;/remote-database-provider&gt;&lt;language&gt;eng&lt;/language&gt;&lt;/record&gt;&lt;/Cite&gt;&lt;/EndNote&gt;</w:instrText>
      </w:r>
      <w:r w:rsidRPr="00C02425">
        <w:rPr>
          <w:rFonts w:asciiTheme="majorBidi" w:hAnsiTheme="majorBidi" w:cstheme="majorBidi"/>
          <w:bCs/>
          <w:color w:val="000000"/>
        </w:rPr>
        <w:fldChar w:fldCharType="separate"/>
      </w:r>
      <w:r w:rsidRPr="00C02425">
        <w:rPr>
          <w:rFonts w:asciiTheme="majorBidi" w:hAnsiTheme="majorBidi" w:cstheme="majorBidi"/>
          <w:bCs/>
          <w:noProof/>
          <w:color w:val="000000"/>
        </w:rPr>
        <w:t>[34]</w:t>
      </w:r>
      <w:r w:rsidRPr="00C02425">
        <w:rPr>
          <w:rFonts w:asciiTheme="majorBidi" w:hAnsiTheme="majorBidi" w:cstheme="majorBidi"/>
          <w:bCs/>
          <w:color w:val="000000"/>
        </w:rPr>
        <w:fldChar w:fldCharType="end"/>
      </w:r>
      <w:r w:rsidRPr="00C02425">
        <w:rPr>
          <w:rFonts w:asciiTheme="majorBidi" w:hAnsiTheme="majorBidi" w:cstheme="majorBidi"/>
          <w:bCs/>
          <w:color w:val="000000"/>
        </w:rPr>
        <w:t>.</w:t>
      </w:r>
    </w:p>
    <w:p w:rsidR="00C02425" w:rsidRPr="00C02425" w:rsidRDefault="00C02425" w:rsidP="00B11C03">
      <w:pPr>
        <w:tabs>
          <w:tab w:val="left" w:pos="3161"/>
        </w:tabs>
        <w:rPr>
          <w:rFonts w:asciiTheme="majorBidi" w:hAnsiTheme="majorBidi" w:cstheme="majorBidi"/>
          <w:sz w:val="24"/>
          <w:szCs w:val="24"/>
        </w:rPr>
      </w:pPr>
    </w:p>
    <w:sectPr w:rsidR="00C02425" w:rsidRPr="00C02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CF"/>
    <w:rsid w:val="00000E50"/>
    <w:rsid w:val="00062BD3"/>
    <w:rsid w:val="000C751F"/>
    <w:rsid w:val="00120DE2"/>
    <w:rsid w:val="00202E48"/>
    <w:rsid w:val="002973F1"/>
    <w:rsid w:val="00314AB8"/>
    <w:rsid w:val="00347685"/>
    <w:rsid w:val="00347FCF"/>
    <w:rsid w:val="003743EB"/>
    <w:rsid w:val="004468B3"/>
    <w:rsid w:val="004C3263"/>
    <w:rsid w:val="004F57B4"/>
    <w:rsid w:val="0059137C"/>
    <w:rsid w:val="005E3EEB"/>
    <w:rsid w:val="005E552D"/>
    <w:rsid w:val="006F72D5"/>
    <w:rsid w:val="007A1E51"/>
    <w:rsid w:val="00882D0B"/>
    <w:rsid w:val="00964480"/>
    <w:rsid w:val="00B11C03"/>
    <w:rsid w:val="00C02425"/>
    <w:rsid w:val="00C55B25"/>
    <w:rsid w:val="00D479C3"/>
    <w:rsid w:val="00D5708C"/>
    <w:rsid w:val="00EC11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D3"/>
    <w:rPr>
      <w:rFonts w:ascii="Tahoma" w:hAnsi="Tahoma" w:cs="Tahoma"/>
      <w:sz w:val="16"/>
      <w:szCs w:val="16"/>
    </w:rPr>
  </w:style>
  <w:style w:type="paragraph" w:styleId="ListParagraph">
    <w:name w:val="List Paragraph"/>
    <w:basedOn w:val="Normal"/>
    <w:uiPriority w:val="34"/>
    <w:qFormat/>
    <w:rsid w:val="004C3263"/>
    <w:pPr>
      <w:bidi/>
      <w:ind w:left="720"/>
      <w:contextualSpacing/>
    </w:pPr>
    <w:rPr>
      <w:rFonts w:ascii="Calibri" w:eastAsia="Times New Roman" w:hAnsi="Calibri" w:cs="Arial"/>
    </w:rPr>
  </w:style>
  <w:style w:type="character" w:styleId="Hyperlink">
    <w:name w:val="Hyperlink"/>
    <w:basedOn w:val="DefaultParagraphFont"/>
    <w:uiPriority w:val="99"/>
    <w:semiHidden/>
    <w:unhideWhenUsed/>
    <w:rsid w:val="004468B3"/>
    <w:rPr>
      <w:color w:val="0000FF"/>
      <w:u w:val="single"/>
    </w:rPr>
  </w:style>
  <w:style w:type="paragraph" w:styleId="NormalWeb">
    <w:name w:val="Normal (Web)"/>
    <w:basedOn w:val="Normal"/>
    <w:uiPriority w:val="99"/>
    <w:unhideWhenUsed/>
    <w:rsid w:val="00C024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2425"/>
    <w:rPr>
      <w:i/>
      <w:iCs/>
    </w:rPr>
  </w:style>
  <w:style w:type="character" w:styleId="Strong">
    <w:name w:val="Strong"/>
    <w:basedOn w:val="DefaultParagraphFont"/>
    <w:uiPriority w:val="22"/>
    <w:qFormat/>
    <w:rsid w:val="00C024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BD3"/>
    <w:rPr>
      <w:rFonts w:ascii="Tahoma" w:hAnsi="Tahoma" w:cs="Tahoma"/>
      <w:sz w:val="16"/>
      <w:szCs w:val="16"/>
    </w:rPr>
  </w:style>
  <w:style w:type="paragraph" w:styleId="ListParagraph">
    <w:name w:val="List Paragraph"/>
    <w:basedOn w:val="Normal"/>
    <w:uiPriority w:val="34"/>
    <w:qFormat/>
    <w:rsid w:val="004C3263"/>
    <w:pPr>
      <w:bidi/>
      <w:ind w:left="720"/>
      <w:contextualSpacing/>
    </w:pPr>
    <w:rPr>
      <w:rFonts w:ascii="Calibri" w:eastAsia="Times New Roman" w:hAnsi="Calibri" w:cs="Arial"/>
    </w:rPr>
  </w:style>
  <w:style w:type="character" w:styleId="Hyperlink">
    <w:name w:val="Hyperlink"/>
    <w:basedOn w:val="DefaultParagraphFont"/>
    <w:uiPriority w:val="99"/>
    <w:semiHidden/>
    <w:unhideWhenUsed/>
    <w:rsid w:val="004468B3"/>
    <w:rPr>
      <w:color w:val="0000FF"/>
      <w:u w:val="single"/>
    </w:rPr>
  </w:style>
  <w:style w:type="paragraph" w:styleId="NormalWeb">
    <w:name w:val="Normal (Web)"/>
    <w:basedOn w:val="Normal"/>
    <w:uiPriority w:val="99"/>
    <w:unhideWhenUsed/>
    <w:rsid w:val="00C024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2425"/>
    <w:rPr>
      <w:i/>
      <w:iCs/>
    </w:rPr>
  </w:style>
  <w:style w:type="character" w:styleId="Strong">
    <w:name w:val="Strong"/>
    <w:basedOn w:val="DefaultParagraphFont"/>
    <w:uiPriority w:val="22"/>
    <w:qFormat/>
    <w:rsid w:val="00C02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file:///D:\MSDIAL%20ver%204.10\MSDIAL%20ver%204.10\CytoscapeLocalBrowser\MsdialCytoscapeViewer.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dcterms:created xsi:type="dcterms:W3CDTF">2025-08-24T14:43:00Z</dcterms:created>
  <dcterms:modified xsi:type="dcterms:W3CDTF">2026-02-24T11:18:00Z</dcterms:modified>
</cp:coreProperties>
</file>