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8010" w14:textId="77777777" w:rsidR="007E782B" w:rsidRDefault="00000000">
      <w:pPr>
        <w:spacing w:line="24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Supplementary Information</w:t>
      </w:r>
    </w:p>
    <w:p w14:paraId="6A17D3CE" w14:textId="77777777" w:rsidR="007E782B" w:rsidRDefault="007E782B">
      <w:pPr>
        <w:spacing w:line="240" w:lineRule="auto"/>
        <w:jc w:val="center"/>
        <w:rPr>
          <w:sz w:val="24"/>
          <w:szCs w:val="24"/>
          <w:highlight w:val="white"/>
        </w:rPr>
      </w:pPr>
    </w:p>
    <w:p w14:paraId="2F25788D" w14:textId="77777777" w:rsidR="007E782B" w:rsidRDefault="00000000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Beyond the Last Sip: Unlocking Antioxidant Potential from Spent Yerba Mate through Thermochemical Pathways. </w:t>
      </w:r>
    </w:p>
    <w:p w14:paraId="4B8E9695" w14:textId="77777777" w:rsidR="007E782B" w:rsidRPr="00926987" w:rsidRDefault="00000000">
      <w:pPr>
        <w:spacing w:after="240" w:line="360" w:lineRule="auto"/>
        <w:jc w:val="both"/>
        <w:rPr>
          <w:rFonts w:ascii="Times New Roman" w:eastAsia="Times New Roman" w:hAnsi="Times New Roman" w:cs="Times New Roman"/>
          <w:vertAlign w:val="superscript"/>
          <w:lang w:val="es-419"/>
        </w:rPr>
      </w:pPr>
      <w:r w:rsidRPr="00926987">
        <w:rPr>
          <w:rFonts w:ascii="Times New Roman" w:eastAsia="Times New Roman" w:hAnsi="Times New Roman" w:cs="Times New Roman"/>
          <w:lang w:val="es-419"/>
        </w:rPr>
        <w:t>María Milagros Vicho</w:t>
      </w: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>1‡</w:t>
      </w:r>
      <w:r w:rsidRPr="00926987">
        <w:rPr>
          <w:rFonts w:ascii="Times New Roman" w:eastAsia="Times New Roman" w:hAnsi="Times New Roman" w:cs="Times New Roman"/>
          <w:lang w:val="es-419"/>
        </w:rPr>
        <w:t>, Débora A. López</w:t>
      </w: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>1‡</w:t>
      </w:r>
      <w:r w:rsidRPr="00926987">
        <w:rPr>
          <w:rFonts w:ascii="Times New Roman" w:eastAsia="Times New Roman" w:hAnsi="Times New Roman" w:cs="Times New Roman"/>
          <w:lang w:val="es-419"/>
        </w:rPr>
        <w:t>, Renata Bence</w:t>
      </w: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>2‡</w:t>
      </w:r>
      <w:r w:rsidRPr="00926987">
        <w:rPr>
          <w:rFonts w:ascii="Times New Roman" w:eastAsia="Times New Roman" w:hAnsi="Times New Roman" w:cs="Times New Roman"/>
          <w:lang w:val="es-419"/>
        </w:rPr>
        <w:t>, Rodrigo E. Dominguez</w:t>
      </w: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>1,3‡</w:t>
      </w:r>
      <w:r w:rsidRPr="00926987">
        <w:rPr>
          <w:rFonts w:ascii="Times New Roman" w:eastAsia="Times New Roman" w:hAnsi="Times New Roman" w:cs="Times New Roman"/>
          <w:lang w:val="es-419"/>
        </w:rPr>
        <w:t>, María Verónica Baroni</w:t>
      </w: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>2</w:t>
      </w:r>
      <w:r w:rsidRPr="00926987">
        <w:rPr>
          <w:rFonts w:ascii="Times New Roman" w:eastAsia="Times New Roman" w:hAnsi="Times New Roman" w:cs="Times New Roman"/>
          <w:lang w:val="es-419"/>
        </w:rPr>
        <w:t>, Natividad Herrera Cano</w:t>
      </w: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>2</w:t>
      </w:r>
      <w:r w:rsidRPr="00926987">
        <w:rPr>
          <w:rFonts w:ascii="Times New Roman" w:eastAsia="Times New Roman" w:hAnsi="Times New Roman" w:cs="Times New Roman"/>
          <w:lang w:val="es-419"/>
        </w:rPr>
        <w:t>, and E. Laura Moyano</w:t>
      </w: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>1*</w:t>
      </w:r>
    </w:p>
    <w:p w14:paraId="3833B868" w14:textId="77777777" w:rsidR="007E782B" w:rsidRPr="00926987" w:rsidRDefault="000000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120"/>
        <w:jc w:val="both"/>
        <w:rPr>
          <w:rFonts w:ascii="Times New Roman" w:eastAsia="Times New Roman" w:hAnsi="Times New Roman" w:cs="Times New Roman"/>
          <w:lang w:val="es-419"/>
        </w:rPr>
      </w:pP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 xml:space="preserve">1 </w:t>
      </w:r>
      <w:r w:rsidRPr="00926987">
        <w:rPr>
          <w:rFonts w:ascii="Times New Roman" w:eastAsia="Times New Roman" w:hAnsi="Times New Roman" w:cs="Times New Roman"/>
          <w:sz w:val="20"/>
          <w:szCs w:val="20"/>
          <w:lang w:val="es-419"/>
        </w:rPr>
        <w:t>INFIQC/CONICET - Departamento de Química Orgánica, Facultad de Ciencias Químicas, Universidad Nacional de Córdoba, Córdoba, Argentina.</w:t>
      </w:r>
    </w:p>
    <w:p w14:paraId="3336454C" w14:textId="77777777" w:rsidR="007E782B" w:rsidRPr="00926987" w:rsidRDefault="000000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lang w:val="es-419"/>
        </w:rPr>
      </w:pPr>
      <w:r w:rsidRPr="00926987">
        <w:rPr>
          <w:rFonts w:ascii="Times New Roman" w:eastAsia="Times New Roman" w:hAnsi="Times New Roman" w:cs="Times New Roman"/>
          <w:vertAlign w:val="superscript"/>
          <w:lang w:val="es-419"/>
        </w:rPr>
        <w:t xml:space="preserve">2 </w:t>
      </w:r>
      <w:r w:rsidRPr="00926987">
        <w:rPr>
          <w:rFonts w:ascii="Times New Roman" w:eastAsia="Times New Roman" w:hAnsi="Times New Roman" w:cs="Times New Roman"/>
          <w:sz w:val="20"/>
          <w:szCs w:val="20"/>
          <w:lang w:val="es-419"/>
        </w:rPr>
        <w:t>ICYTAC/CONICET - Departamento de Química Orgánica, Facultad de Ciencias Químicas, Universidad Nacional de Córdoba, Córdoba, Argentina.</w:t>
      </w:r>
    </w:p>
    <w:p w14:paraId="440D5471" w14:textId="77777777" w:rsidR="007E782B" w:rsidRDefault="00000000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Present address: Medical Devices and Methods Laboratory, Health Futures Center, Arizona State University, 6161 E. Mayo Blvd., Phoenix, AZ 85054, U.S.A.</w:t>
      </w:r>
    </w:p>
    <w:p w14:paraId="4E6D591A" w14:textId="77777777" w:rsidR="007E782B" w:rsidRDefault="00000000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These authors contributed equally to this work. </w:t>
      </w:r>
    </w:p>
    <w:p w14:paraId="5400236B" w14:textId="77777777" w:rsidR="007E782B" w:rsidRDefault="00000000">
      <w:pPr>
        <w:spacing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*Corresponding author email address: </w:t>
      </w:r>
      <w:hyperlink r:id="rId7">
        <w:r>
          <w:rPr>
            <w:rFonts w:ascii="Times New Roman" w:eastAsia="Times New Roman" w:hAnsi="Times New Roman" w:cs="Times New Roman"/>
            <w:sz w:val="20"/>
            <w:szCs w:val="20"/>
          </w:rPr>
          <w:t>e.laura.moyano@unc.edu.ar</w:t>
        </w:r>
      </w:hyperlink>
    </w:p>
    <w:p w14:paraId="245BAC12" w14:textId="77777777" w:rsidR="007E782B" w:rsidRDefault="007E782B"/>
    <w:p w14:paraId="6BE4ED1A" w14:textId="77777777" w:rsidR="007E782B" w:rsidRDefault="00000000">
      <w:pPr>
        <w:jc w:val="both"/>
        <w:rPr>
          <w:highlight w:val="white"/>
        </w:rPr>
      </w:pPr>
      <w:r>
        <w:t xml:space="preserve">This file contains 3 pages, including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Table S1, Fig. S1, Fig. S2 and Table S2.</w:t>
      </w:r>
    </w:p>
    <w:p w14:paraId="4868F1FC" w14:textId="77777777" w:rsidR="007E782B" w:rsidRDefault="007E782B">
      <w:pPr>
        <w:spacing w:after="120" w:line="259" w:lineRule="auto"/>
        <w:jc w:val="both"/>
        <w:rPr>
          <w:sz w:val="18"/>
          <w:szCs w:val="18"/>
          <w:highlight w:val="white"/>
        </w:rPr>
      </w:pPr>
    </w:p>
    <w:p w14:paraId="7D182DFB" w14:textId="77777777" w:rsidR="007E782B" w:rsidRDefault="00000000">
      <w:pPr>
        <w:spacing w:after="120" w:line="259" w:lineRule="auto"/>
        <w:jc w:val="both"/>
      </w:pPr>
      <w:r>
        <w:rPr>
          <w:b/>
        </w:rPr>
        <w:t>Table S1.</w:t>
      </w:r>
      <w:r>
        <w:t xml:space="preserve"> UPLC-MS/MS Triple Quadrupole Acquisition Parameters for Analyzed Compounds.</w:t>
      </w:r>
    </w:p>
    <w:tbl>
      <w:tblPr>
        <w:tblStyle w:val="a0"/>
        <w:tblW w:w="9900" w:type="dxa"/>
        <w:tblInd w:w="-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1065"/>
        <w:gridCol w:w="990"/>
        <w:gridCol w:w="1050"/>
        <w:gridCol w:w="1005"/>
        <w:gridCol w:w="1365"/>
        <w:gridCol w:w="1845"/>
      </w:tblGrid>
      <w:tr w:rsidR="007E782B" w14:paraId="423D26B9" w14:textId="77777777">
        <w:trPr>
          <w:trHeight w:val="420"/>
        </w:trPr>
        <w:tc>
          <w:tcPr>
            <w:tcW w:w="2580" w:type="dxa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3A8E36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  <w:tc>
          <w:tcPr>
            <w:tcW w:w="1065" w:type="dxa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129C68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 time (min)</w:t>
            </w:r>
          </w:p>
        </w:tc>
        <w:tc>
          <w:tcPr>
            <w:tcW w:w="2040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AB1310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Precursor ion (m/z)</w:t>
            </w:r>
          </w:p>
        </w:tc>
        <w:tc>
          <w:tcPr>
            <w:tcW w:w="1005" w:type="dxa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B1F404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 (eV)</w:t>
            </w:r>
          </w:p>
        </w:tc>
        <w:tc>
          <w:tcPr>
            <w:tcW w:w="1365" w:type="dxa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EB129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Cone (V)</w:t>
            </w:r>
          </w:p>
        </w:tc>
        <w:tc>
          <w:tcPr>
            <w:tcW w:w="1845" w:type="dxa"/>
            <w:vMerge w:val="restar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034521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Quantification trace</w:t>
            </w:r>
          </w:p>
        </w:tc>
      </w:tr>
      <w:tr w:rsidR="007E782B" w14:paraId="08D35415" w14:textId="77777777">
        <w:trPr>
          <w:trHeight w:val="555"/>
        </w:trPr>
        <w:tc>
          <w:tcPr>
            <w:tcW w:w="2580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F036B29" w14:textId="77777777" w:rsidR="007E782B" w:rsidRDefault="007E782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65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0132E994" w14:textId="77777777" w:rsidR="007E782B" w:rsidRDefault="007E782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37728A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[M+</w:t>
            </w:r>
            <w:proofErr w:type="gramStart"/>
            <w:r>
              <w:rPr>
                <w:sz w:val="18"/>
                <w:szCs w:val="18"/>
              </w:rPr>
              <w:t>H]⁺</w:t>
            </w:r>
            <w:proofErr w:type="gramEnd"/>
          </w:p>
        </w:tc>
        <w:tc>
          <w:tcPr>
            <w:tcW w:w="105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F31CC35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[M–</w:t>
            </w:r>
            <w:proofErr w:type="gramStart"/>
            <w:r>
              <w:rPr>
                <w:sz w:val="18"/>
                <w:szCs w:val="18"/>
              </w:rPr>
              <w:t>H]⁻</w:t>
            </w:r>
            <w:proofErr w:type="gramEnd"/>
          </w:p>
        </w:tc>
        <w:tc>
          <w:tcPr>
            <w:tcW w:w="1005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473FBD0" w14:textId="77777777" w:rsidR="007E782B" w:rsidRDefault="007E782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09021AB" w14:textId="77777777" w:rsidR="007E782B" w:rsidRDefault="007E782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vMerge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468856D" w14:textId="77777777" w:rsidR="007E782B" w:rsidRDefault="007E782B">
            <w:pPr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7E782B" w14:paraId="4F89A28C" w14:textId="77777777">
        <w:trPr>
          <w:trHeight w:val="453"/>
        </w:trPr>
        <w:tc>
          <w:tcPr>
            <w:tcW w:w="258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4D66EC" w14:textId="77777777" w:rsidR="007E782B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Gallic acid</w:t>
            </w:r>
          </w:p>
        </w:tc>
        <w:tc>
          <w:tcPr>
            <w:tcW w:w="10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723589" w14:textId="77777777" w:rsidR="007E782B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tcW w:w="99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A7CC5C0" w14:textId="77777777" w:rsidR="007E782B" w:rsidRDefault="007E782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BB2FB0" w14:textId="77777777" w:rsidR="007E782B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100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B216415" w14:textId="77777777" w:rsidR="007E782B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0937BF" w14:textId="77777777" w:rsidR="007E782B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AC641D" w14:textId="77777777" w:rsidR="007E782B" w:rsidRDefault="0000000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 &gt; 125</w:t>
            </w:r>
          </w:p>
        </w:tc>
      </w:tr>
      <w:tr w:rsidR="007E782B" w14:paraId="7896FD84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E2DB1F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Theobromine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12550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5411C1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03A05C3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CFBCBD9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C84503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0C3D43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 &gt; 138</w:t>
            </w:r>
          </w:p>
        </w:tc>
      </w:tr>
      <w:tr w:rsidR="007E782B" w14:paraId="52F3B66A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88AA69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Protocatechuic acid (PCA)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CFE68EB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2.68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0BD2FF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AA2905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F4A158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DEA8FA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0549F9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 &gt; 109</w:t>
            </w:r>
          </w:p>
        </w:tc>
      </w:tr>
      <w:tr w:rsidR="007E782B" w14:paraId="65196A03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A9DBF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3-CQA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699729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AD8CB5A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FDEBC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4BE279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3C3558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D72E57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 &gt; 191</w:t>
            </w:r>
          </w:p>
        </w:tc>
      </w:tr>
      <w:tr w:rsidR="007E782B" w14:paraId="0C289F3F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B04EDF4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5-CQA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7295C98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8D1FA79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A82EA3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B5F4BEA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1F0425A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92E315D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 &gt; 191</w:t>
            </w:r>
          </w:p>
        </w:tc>
      </w:tr>
      <w:tr w:rsidR="007E782B" w14:paraId="042BA0F9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71DAE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4-CQA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3E881EC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CD340B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05266C3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3CF55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19E0FA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CAA514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 &gt; 173</w:t>
            </w:r>
          </w:p>
        </w:tc>
      </w:tr>
      <w:tr w:rsidR="007E782B" w14:paraId="4945D866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CB267C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Caffein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4901519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68646CF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8574E29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85E685D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D6A016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CC83FD7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 &gt; 138</w:t>
            </w:r>
          </w:p>
        </w:tc>
      </w:tr>
      <w:tr w:rsidR="007E782B" w14:paraId="410877F2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78B8ADD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3-FQA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F5AF08A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3.87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CAB713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1DE1EAF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4BDDB1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849909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7EFAE8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 &gt; 193</w:t>
            </w:r>
          </w:p>
        </w:tc>
      </w:tr>
      <w:tr w:rsidR="007E782B" w14:paraId="0E7FF929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EE4A37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Caffeic acid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A20EDF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0217A9F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F69F809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F5D35AF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5E127D6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C1E521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 &gt; 163</w:t>
            </w:r>
          </w:p>
        </w:tc>
      </w:tr>
      <w:tr w:rsidR="007E782B" w14:paraId="71C7A9A8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E864906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5-FQA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0AC4EAF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5371CE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541CAB3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09E6DC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EEA3161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9753D91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 &gt; 173</w:t>
            </w:r>
          </w:p>
        </w:tc>
      </w:tr>
      <w:tr w:rsidR="007E782B" w14:paraId="265F342C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C484E6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Rutin</w:t>
            </w:r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2B3090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4F2E952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5ED9C9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9C6634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609B893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DFAB784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 &gt; 300</w:t>
            </w:r>
          </w:p>
        </w:tc>
      </w:tr>
      <w:tr w:rsidR="007E782B" w14:paraId="18F23904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D61411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Isoquercetin</w:t>
            </w:r>
            <w:proofErr w:type="spellEnd"/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70A1527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8DA22D4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376F88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62A3BC0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D42F842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D3AEF11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 &gt; 300</w:t>
            </w:r>
          </w:p>
        </w:tc>
      </w:tr>
      <w:tr w:rsidR="007E782B" w14:paraId="296CD3B9" w14:textId="77777777">
        <w:trPr>
          <w:trHeight w:val="453"/>
        </w:trPr>
        <w:tc>
          <w:tcPr>
            <w:tcW w:w="258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F822021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Kaempf-</w:t>
            </w:r>
            <w:proofErr w:type="spellStart"/>
            <w:r>
              <w:rPr>
                <w:sz w:val="18"/>
                <w:szCs w:val="18"/>
              </w:rPr>
              <w:t>rutinoside</w:t>
            </w:r>
            <w:proofErr w:type="spellEnd"/>
          </w:p>
        </w:tc>
        <w:tc>
          <w:tcPr>
            <w:tcW w:w="10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E174503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DBF78AE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105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58576F6" w14:textId="77777777" w:rsidR="007E782B" w:rsidRDefault="007E78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C31ADB6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36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8E1D9C9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4B6CD67A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 &gt; 285</w:t>
            </w:r>
          </w:p>
        </w:tc>
      </w:tr>
    </w:tbl>
    <w:p w14:paraId="4F032C09" w14:textId="77777777" w:rsidR="007E782B" w:rsidRDefault="007E782B">
      <w:pPr>
        <w:spacing w:after="160" w:line="259" w:lineRule="auto"/>
      </w:pPr>
    </w:p>
    <w:p w14:paraId="47BD2837" w14:textId="77777777" w:rsidR="007E782B" w:rsidRDefault="007E782B">
      <w:pPr>
        <w:spacing w:after="120" w:line="259" w:lineRule="auto"/>
        <w:jc w:val="both"/>
        <w:rPr>
          <w:sz w:val="18"/>
          <w:szCs w:val="18"/>
          <w:highlight w:val="white"/>
        </w:rPr>
      </w:pPr>
    </w:p>
    <w:p w14:paraId="3EBCA2BE" w14:textId="77777777" w:rsidR="007E782B" w:rsidRDefault="00000000">
      <w:pPr>
        <w:spacing w:after="120" w:line="259" w:lineRule="auto"/>
      </w:pPr>
      <w:r>
        <w:t xml:space="preserve">  </w:t>
      </w:r>
      <w:r>
        <w:rPr>
          <w:b/>
        </w:rPr>
        <w:t>Table S2.</w:t>
      </w:r>
      <w:r>
        <w:t xml:space="preserve"> Properties of unused yerba mate (YM).</w:t>
      </w:r>
    </w:p>
    <w:tbl>
      <w:tblPr>
        <w:tblStyle w:val="a1"/>
        <w:tblW w:w="6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2127"/>
      </w:tblGrid>
      <w:tr w:rsidR="007E782B" w14:paraId="7F6EA29B" w14:textId="77777777">
        <w:trPr>
          <w:trHeight w:val="248"/>
          <w:tblHeader/>
          <w:jc w:val="center"/>
        </w:trPr>
        <w:tc>
          <w:tcPr>
            <w:tcW w:w="4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BC27EA" w14:textId="77777777" w:rsidR="007E782B" w:rsidRDefault="00000000">
            <w:pPr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Analysis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E54347D" w14:textId="77777777" w:rsidR="007E782B" w:rsidRDefault="00000000">
            <w:pPr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>YM</w:t>
            </w:r>
          </w:p>
        </w:tc>
      </w:tr>
      <w:tr w:rsidR="007E782B" w14:paraId="20B129E1" w14:textId="77777777">
        <w:trPr>
          <w:trHeight w:val="474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261169C" w14:textId="77777777" w:rsidR="007E782B" w:rsidRDefault="00000000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Proximate analysis (wt.</w:t>
            </w:r>
            <w:proofErr w:type="gramStart"/>
            <w:r>
              <w:rPr>
                <w:sz w:val="18"/>
                <w:szCs w:val="18"/>
                <w:highlight w:val="white"/>
              </w:rPr>
              <w:t>%)</w:t>
            </w:r>
            <w:r>
              <w:rPr>
                <w:sz w:val="18"/>
                <w:szCs w:val="18"/>
                <w:highlight w:val="white"/>
                <w:vertAlign w:val="superscript"/>
              </w:rPr>
              <w:t>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1AD33B6" w14:textId="77777777" w:rsidR="007E782B" w:rsidRDefault="00000000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Ash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CA5D38B" w14:textId="77777777" w:rsidR="007E782B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4.05</w:t>
            </w:r>
          </w:p>
        </w:tc>
      </w:tr>
      <w:tr w:rsidR="007E782B" w14:paraId="0BC8A1E5" w14:textId="77777777">
        <w:trPr>
          <w:trHeight w:val="452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7A060EC" w14:textId="77777777" w:rsidR="007E782B" w:rsidRDefault="007E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22CF" w14:textId="77777777" w:rsidR="007E78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carbon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B60AC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19.82</w:t>
            </w:r>
          </w:p>
        </w:tc>
      </w:tr>
      <w:tr w:rsidR="007E782B" w14:paraId="7FFF5CC4" w14:textId="77777777">
        <w:trPr>
          <w:trHeight w:val="402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AF787E3" w14:textId="77777777" w:rsidR="007E782B" w:rsidRDefault="007E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24E40E" w14:textId="77777777" w:rsidR="007E782B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Volatile matter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4DF010" w14:textId="77777777" w:rsidR="007E782B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76.13</w:t>
            </w:r>
          </w:p>
        </w:tc>
      </w:tr>
      <w:tr w:rsidR="007E782B" w14:paraId="2C6390E9" w14:textId="77777777">
        <w:trPr>
          <w:trHeight w:val="394"/>
          <w:jc w:val="center"/>
        </w:trPr>
        <w:tc>
          <w:tcPr>
            <w:tcW w:w="254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296CBEF" w14:textId="77777777" w:rsidR="007E782B" w:rsidRDefault="00000000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Ultimate analysis (wt.</w:t>
            </w:r>
            <w:proofErr w:type="gramStart"/>
            <w:r>
              <w:rPr>
                <w:sz w:val="18"/>
                <w:szCs w:val="18"/>
                <w:highlight w:val="white"/>
              </w:rPr>
              <w:t>%)</w:t>
            </w:r>
            <w:r>
              <w:rPr>
                <w:sz w:val="18"/>
                <w:szCs w:val="18"/>
                <w:highlight w:val="white"/>
                <w:vertAlign w:val="superscript"/>
              </w:rPr>
              <w:t>a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E1A45B2" w14:textId="77777777" w:rsidR="007E782B" w:rsidRDefault="00000000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C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0F0AE83" w14:textId="77777777" w:rsidR="007E782B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80.83</w:t>
            </w:r>
          </w:p>
        </w:tc>
      </w:tr>
      <w:tr w:rsidR="007E782B" w14:paraId="1166E28B" w14:textId="77777777">
        <w:trPr>
          <w:trHeight w:val="461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2BB12C4" w14:textId="77777777" w:rsidR="007E782B" w:rsidRDefault="007E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9931" w14:textId="77777777" w:rsidR="007E782B" w:rsidRDefault="00000000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H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E6E6" w14:textId="77777777" w:rsidR="007E782B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7.20</w:t>
            </w:r>
          </w:p>
        </w:tc>
      </w:tr>
      <w:tr w:rsidR="007E782B" w14:paraId="66B5A8A7" w14:textId="77777777">
        <w:trPr>
          <w:trHeight w:val="425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0DB1EF" w14:textId="77777777" w:rsidR="007E782B" w:rsidRDefault="007E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E395" w14:textId="77777777" w:rsidR="007E782B" w:rsidRDefault="00000000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A916" w14:textId="77777777" w:rsidR="007E782B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2.05</w:t>
            </w:r>
          </w:p>
        </w:tc>
      </w:tr>
      <w:tr w:rsidR="007E782B" w14:paraId="13E17EA9" w14:textId="77777777">
        <w:trPr>
          <w:trHeight w:val="389"/>
          <w:jc w:val="center"/>
        </w:trPr>
        <w:tc>
          <w:tcPr>
            <w:tcW w:w="2547" w:type="dxa"/>
            <w:vMerge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213EBA7" w14:textId="77777777" w:rsidR="007E782B" w:rsidRDefault="007E7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31444F78" w14:textId="77777777" w:rsidR="007E782B" w:rsidRDefault="00000000">
            <w:pPr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O</w:t>
            </w:r>
            <w:r>
              <w:rPr>
                <w:sz w:val="18"/>
                <w:szCs w:val="18"/>
                <w:highlight w:val="white"/>
                <w:vertAlign w:val="superscript"/>
              </w:rPr>
              <w:t>b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24A9745B" w14:textId="77777777" w:rsidR="007E782B" w:rsidRDefault="00000000">
            <w:pPr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5.87</w:t>
            </w:r>
          </w:p>
        </w:tc>
      </w:tr>
    </w:tbl>
    <w:p w14:paraId="4CC4C454" w14:textId="77777777" w:rsidR="007E782B" w:rsidRDefault="007E782B">
      <w:pPr>
        <w:spacing w:line="240" w:lineRule="auto"/>
        <w:ind w:firstLine="720"/>
        <w:jc w:val="both"/>
        <w:rPr>
          <w:sz w:val="18"/>
          <w:szCs w:val="18"/>
          <w:highlight w:val="white"/>
          <w:vertAlign w:val="superscript"/>
        </w:rPr>
      </w:pPr>
    </w:p>
    <w:p w14:paraId="33ACA76E" w14:textId="77777777" w:rsidR="007E782B" w:rsidRDefault="00000000">
      <w:pPr>
        <w:spacing w:line="240" w:lineRule="auto"/>
        <w:ind w:firstLine="720"/>
        <w:jc w:val="both"/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vertAlign w:val="superscript"/>
        </w:rPr>
        <w:t>a</w:t>
      </w:r>
      <w:r>
        <w:rPr>
          <w:sz w:val="18"/>
          <w:szCs w:val="18"/>
          <w:highlight w:val="white"/>
        </w:rPr>
        <w:t xml:space="preserve"> Dry basis.</w:t>
      </w:r>
    </w:p>
    <w:p w14:paraId="019FE36F" w14:textId="77777777" w:rsidR="007E782B" w:rsidRDefault="00000000">
      <w:pPr>
        <w:spacing w:line="240" w:lineRule="auto"/>
        <w:ind w:firstLine="709"/>
        <w:jc w:val="both"/>
        <w:rPr>
          <w:sz w:val="18"/>
          <w:szCs w:val="18"/>
          <w:highlight w:val="white"/>
        </w:rPr>
      </w:pPr>
      <w:proofErr w:type="gramStart"/>
      <w:r>
        <w:rPr>
          <w:sz w:val="18"/>
          <w:szCs w:val="18"/>
          <w:highlight w:val="white"/>
          <w:vertAlign w:val="superscript"/>
        </w:rPr>
        <w:t xml:space="preserve">b  </w:t>
      </w:r>
      <w:r>
        <w:rPr>
          <w:sz w:val="18"/>
          <w:szCs w:val="18"/>
          <w:highlight w:val="white"/>
        </w:rPr>
        <w:t>Calculated</w:t>
      </w:r>
      <w:proofErr w:type="gramEnd"/>
      <w:r>
        <w:rPr>
          <w:sz w:val="18"/>
          <w:szCs w:val="18"/>
          <w:highlight w:val="white"/>
        </w:rPr>
        <w:t xml:space="preserve"> by difference.</w:t>
      </w:r>
    </w:p>
    <w:p w14:paraId="6DE4BCD6" w14:textId="77777777" w:rsidR="007E782B" w:rsidRDefault="007E782B">
      <w:pPr>
        <w:rPr>
          <w:highlight w:val="white"/>
        </w:rPr>
      </w:pPr>
    </w:p>
    <w:p w14:paraId="7B2D61B0" w14:textId="77777777" w:rsidR="007E782B" w:rsidRDefault="007E782B">
      <w:pPr>
        <w:spacing w:after="160" w:line="360" w:lineRule="auto"/>
        <w:jc w:val="center"/>
        <w:rPr>
          <w:sz w:val="24"/>
          <w:szCs w:val="24"/>
          <w:highlight w:val="white"/>
        </w:rPr>
      </w:pPr>
    </w:p>
    <w:p w14:paraId="1709A3BC" w14:textId="77777777" w:rsidR="007E782B" w:rsidRDefault="00000000">
      <w:pPr>
        <w:spacing w:after="160" w:line="360" w:lineRule="auto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</w:r>
      <w:r>
        <w:rPr>
          <w:sz w:val="24"/>
          <w:szCs w:val="24"/>
          <w:highlight w:val="white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3B05EBF" wp14:editId="302FA333">
            <wp:simplePos x="0" y="0"/>
            <wp:positionH relativeFrom="column">
              <wp:posOffset>287020</wp:posOffset>
            </wp:positionH>
            <wp:positionV relativeFrom="paragraph">
              <wp:posOffset>0</wp:posOffset>
            </wp:positionV>
            <wp:extent cx="4946650" cy="3599815"/>
            <wp:effectExtent l="0" t="0" r="0" b="0"/>
            <wp:wrapTopAndBottom distT="0" distB="0"/>
            <wp:docPr id="19221455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599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DB3471" w14:textId="77777777" w:rsidR="007E782B" w:rsidRDefault="00000000">
      <w:pPr>
        <w:spacing w:after="160" w:line="360" w:lineRule="auto"/>
        <w:jc w:val="center"/>
      </w:pPr>
      <w:r>
        <w:rPr>
          <w:b/>
          <w:highlight w:val="white"/>
        </w:rPr>
        <w:lastRenderedPageBreak/>
        <w:t xml:space="preserve">Fig. S1. </w:t>
      </w:r>
      <w:r>
        <w:rPr>
          <w:highlight w:val="white"/>
        </w:rPr>
        <w:t xml:space="preserve">FT-IR spectra </w:t>
      </w:r>
      <w:r>
        <w:t>of unused yerba mate.</w:t>
      </w:r>
    </w:p>
    <w:p w14:paraId="5F77C863" w14:textId="77777777" w:rsidR="007E782B" w:rsidRDefault="007E782B">
      <w:pPr>
        <w:spacing w:after="160" w:line="360" w:lineRule="auto"/>
      </w:pPr>
    </w:p>
    <w:p w14:paraId="114F690A" w14:textId="77777777" w:rsidR="007E782B" w:rsidRDefault="00000000">
      <w:pPr>
        <w:spacing w:after="160"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E949EE4" wp14:editId="16A04F9F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4956810" cy="3453765"/>
            <wp:effectExtent l="0" t="0" r="0" b="0"/>
            <wp:wrapTopAndBottom distT="0" distB="0"/>
            <wp:docPr id="192214557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6810" cy="3453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E7D6DC4" w14:textId="77777777" w:rsidR="007E782B" w:rsidRDefault="00000000">
      <w:pPr>
        <w:widowControl w:val="0"/>
        <w:spacing w:line="480" w:lineRule="auto"/>
        <w:jc w:val="center"/>
        <w:rPr>
          <w:highlight w:val="yellow"/>
        </w:rPr>
      </w:pPr>
      <w:r>
        <w:rPr>
          <w:b/>
        </w:rPr>
        <w:t>Fig. S2.</w:t>
      </w:r>
      <w:r>
        <w:t xml:space="preserve"> X-Ray Diffraction Pattern of </w:t>
      </w:r>
      <w:proofErr w:type="spellStart"/>
      <w:r>
        <w:t>unsued</w:t>
      </w:r>
      <w:proofErr w:type="spellEnd"/>
      <w:r>
        <w:t xml:space="preserve"> yerba mate.</w:t>
      </w:r>
    </w:p>
    <w:p w14:paraId="1CE8B679" w14:textId="77777777" w:rsidR="007E782B" w:rsidRDefault="007E782B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26ACF143" w14:textId="77777777" w:rsidR="007E782B" w:rsidRDefault="007E782B">
      <w:pPr>
        <w:spacing w:after="160" w:line="259" w:lineRule="auto"/>
      </w:pPr>
    </w:p>
    <w:sectPr w:rsidR="007E782B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9C97" w14:textId="77777777" w:rsidR="007C61EC" w:rsidRDefault="007C61EC">
      <w:pPr>
        <w:spacing w:line="240" w:lineRule="auto"/>
      </w:pPr>
      <w:r>
        <w:separator/>
      </w:r>
    </w:p>
  </w:endnote>
  <w:endnote w:type="continuationSeparator" w:id="0">
    <w:p w14:paraId="661FB50E" w14:textId="77777777" w:rsidR="007C61EC" w:rsidRDefault="007C6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97DA" w14:textId="77777777" w:rsidR="007E782B" w:rsidRDefault="007E78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65C8F" w14:textId="77777777" w:rsidR="007C61EC" w:rsidRDefault="007C61EC">
      <w:pPr>
        <w:spacing w:line="240" w:lineRule="auto"/>
      </w:pPr>
      <w:r>
        <w:separator/>
      </w:r>
    </w:p>
  </w:footnote>
  <w:footnote w:type="continuationSeparator" w:id="0">
    <w:p w14:paraId="3DE93F38" w14:textId="77777777" w:rsidR="007C61EC" w:rsidRDefault="007C61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82B"/>
    <w:rsid w:val="0014174A"/>
    <w:rsid w:val="007C61EC"/>
    <w:rsid w:val="007E782B"/>
    <w:rsid w:val="00926987"/>
    <w:rsid w:val="00E8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1D4A"/>
  <w15:docId w15:val="{AD4835A0-C8F8-4844-8730-A8C46BF4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.laura.moyano@unc.edu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dq5qpE3Wgsb80RYQnNCVESQ3wA==">CgMxLjA4AHIhMVNIclJqczJoa3pGTVJsR3VlM0FwLVk2QlQwV25paVBr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1575</Characters>
  <Application>Microsoft Office Word</Application>
  <DocSecurity>0</DocSecurity>
  <Lines>160</Lines>
  <Paragraphs>119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Lopez</dc:creator>
  <cp:lastModifiedBy>Laura Moyano</cp:lastModifiedBy>
  <cp:revision>3</cp:revision>
  <cp:lastPrinted>2025-11-03T13:30:00Z</cp:lastPrinted>
  <dcterms:created xsi:type="dcterms:W3CDTF">2025-11-03T13:30:00Z</dcterms:created>
  <dcterms:modified xsi:type="dcterms:W3CDTF">2025-11-03T13:31:00Z</dcterms:modified>
</cp:coreProperties>
</file>