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73D2" w14:textId="61933536" w:rsidR="006D6EAB" w:rsidRPr="00201A0F" w:rsidRDefault="006D6EAB" w:rsidP="006D6EAB">
      <w:pPr>
        <w:spacing w:line="240" w:lineRule="auto"/>
        <w:rPr>
          <w:rFonts w:ascii="Arial" w:eastAsia="Aptos" w:hAnsi="Arial" w:cs="Arial"/>
        </w:rPr>
      </w:pPr>
      <w:r w:rsidRPr="00201A0F">
        <w:rPr>
          <w:rFonts w:ascii="Arial" w:eastAsia="Aptos" w:hAnsi="Arial" w:cs="Arial"/>
          <w:b/>
          <w:bCs/>
        </w:rPr>
        <w:t xml:space="preserve">Title: </w:t>
      </w:r>
      <w:r w:rsidR="00165232">
        <w:rPr>
          <w:rFonts w:ascii="Arial" w:eastAsia="Aptos" w:hAnsi="Arial" w:cs="Arial"/>
          <w:b/>
          <w:bCs/>
        </w:rPr>
        <w:t>Poly-</w:t>
      </w:r>
      <w:r w:rsidRPr="00201A0F">
        <w:rPr>
          <w:rFonts w:ascii="Arial" w:eastAsia="Aptos" w:hAnsi="Arial" w:cs="Arial"/>
          <w:b/>
          <w:bCs/>
        </w:rPr>
        <w:t>Pharmacologic Disruption of the Proliferative-to-Mesenchymal Fate Branch Point Reverses EndMT and Pulmonary Hypertension</w:t>
      </w:r>
    </w:p>
    <w:p w14:paraId="21253621" w14:textId="77777777" w:rsidR="006D6EAB" w:rsidRPr="00201A0F" w:rsidRDefault="006D6EAB" w:rsidP="006D6EAB">
      <w:pPr>
        <w:spacing w:line="240" w:lineRule="auto"/>
        <w:jc w:val="both"/>
        <w:rPr>
          <w:rFonts w:ascii="Arial" w:eastAsia="Aptos" w:hAnsi="Arial" w:cs="Arial"/>
          <w:kern w:val="24"/>
        </w:rPr>
      </w:pPr>
      <w:r w:rsidRPr="00201A0F">
        <w:rPr>
          <w:rFonts w:ascii="Arial" w:eastAsia="Aptos" w:hAnsi="Arial" w:cs="Arial"/>
          <w:kern w:val="24"/>
        </w:rPr>
        <w:t>Dinesh Bharti</w:t>
      </w:r>
      <w:r w:rsidRPr="00201A0F">
        <w:rPr>
          <w:rFonts w:ascii="Arial" w:eastAsia="Aptos" w:hAnsi="Arial" w:cs="Arial"/>
          <w:kern w:val="24"/>
          <w:vertAlign w:val="superscript"/>
        </w:rPr>
        <w:t>1#</w:t>
      </w:r>
      <w:r w:rsidRPr="00201A0F">
        <w:rPr>
          <w:rFonts w:ascii="Arial" w:eastAsia="Aptos" w:hAnsi="Arial" w:cs="Arial"/>
          <w:kern w:val="24"/>
        </w:rPr>
        <w:t>, Tetiana Kolodiazhna</w:t>
      </w:r>
      <w:r w:rsidRPr="00201A0F">
        <w:rPr>
          <w:rFonts w:ascii="Arial" w:eastAsia="Aptos" w:hAnsi="Arial" w:cs="Arial"/>
          <w:kern w:val="24"/>
          <w:vertAlign w:val="superscript"/>
        </w:rPr>
        <w:t>2#</w:t>
      </w:r>
      <w:r w:rsidRPr="00201A0F">
        <w:rPr>
          <w:rFonts w:ascii="Arial" w:eastAsia="Aptos" w:hAnsi="Arial" w:cs="Arial"/>
          <w:kern w:val="24"/>
        </w:rPr>
        <w:t>, Sedat Kacar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,</w:t>
      </w:r>
      <w:r w:rsidRPr="00201A0F">
        <w:rPr>
          <w:rFonts w:ascii="Arial" w:eastAsia="Aptos" w:hAnsi="Arial" w:cs="Arial"/>
          <w:kern w:val="24"/>
          <w:vertAlign w:val="superscript"/>
        </w:rPr>
        <w:t xml:space="preserve"> </w:t>
      </w:r>
      <w:r w:rsidRPr="00201A0F">
        <w:rPr>
          <w:rFonts w:ascii="Arial" w:eastAsia="Aptos" w:hAnsi="Arial" w:cs="Arial"/>
          <w:kern w:val="24"/>
        </w:rPr>
        <w:t>Mathews V Varghese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, Takanori Sano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, Sruthi Radhakrishnan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, Joel James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, AJ Hinkle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, Maki Niihori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, Olga Rafikova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 xml:space="preserve">, Alexander </w:t>
      </w:r>
      <w:r>
        <w:rPr>
          <w:rFonts w:ascii="Arial" w:eastAsia="Aptos" w:hAnsi="Arial" w:cs="Arial"/>
          <w:kern w:val="24"/>
        </w:rPr>
        <w:t xml:space="preserve">V. </w:t>
      </w:r>
      <w:r w:rsidRPr="00201A0F">
        <w:rPr>
          <w:rFonts w:ascii="Arial" w:eastAsia="Aptos" w:hAnsi="Arial" w:cs="Arial"/>
          <w:kern w:val="24"/>
        </w:rPr>
        <w:t>Statsyuk</w:t>
      </w:r>
      <w:r w:rsidRPr="00201A0F">
        <w:rPr>
          <w:rFonts w:ascii="Arial" w:eastAsia="Aptos" w:hAnsi="Arial" w:cs="Arial"/>
          <w:kern w:val="24"/>
          <w:vertAlign w:val="superscript"/>
        </w:rPr>
        <w:t>2</w:t>
      </w:r>
      <w:r w:rsidRPr="00201A0F">
        <w:rPr>
          <w:rFonts w:ascii="Arial" w:eastAsia="Aptos" w:hAnsi="Arial" w:cs="Arial"/>
          <w:kern w:val="24"/>
        </w:rPr>
        <w:t xml:space="preserve"> and Ruslan Rafikov</w:t>
      </w:r>
      <w:r w:rsidRPr="00201A0F">
        <w:rPr>
          <w:rFonts w:ascii="Arial" w:eastAsia="Aptos" w:hAnsi="Arial" w:cs="Arial"/>
          <w:kern w:val="24"/>
          <w:vertAlign w:val="superscript"/>
        </w:rPr>
        <w:t>1</w:t>
      </w:r>
      <w:r w:rsidRPr="00201A0F">
        <w:rPr>
          <w:rFonts w:ascii="Arial" w:eastAsia="Aptos" w:hAnsi="Arial" w:cs="Arial"/>
          <w:kern w:val="24"/>
        </w:rPr>
        <w:t>*</w:t>
      </w:r>
    </w:p>
    <w:p w14:paraId="2B9A469D" w14:textId="77777777" w:rsidR="006D6EAB" w:rsidRPr="00201A0F" w:rsidRDefault="006D6EAB" w:rsidP="006D6EAB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Aptos" w:hAnsi="Arial" w:cs="Arial"/>
        </w:rPr>
      </w:pPr>
      <w:r w:rsidRPr="00201A0F">
        <w:rPr>
          <w:rFonts w:ascii="Arial" w:eastAsia="Aptos" w:hAnsi="Arial" w:cs="Arial"/>
        </w:rPr>
        <w:t>Department of Medicine, Division of Pulmonary, Critical Care, Sleep &amp; Occupational Medicine, Indiana University, Indianapolis, Indiana 46202</w:t>
      </w:r>
    </w:p>
    <w:p w14:paraId="5893B878" w14:textId="77777777" w:rsidR="006D6EAB" w:rsidRPr="00201A0F" w:rsidRDefault="006D6EAB" w:rsidP="006D6EAB">
      <w:pPr>
        <w:numPr>
          <w:ilvl w:val="0"/>
          <w:numId w:val="1"/>
        </w:numPr>
        <w:spacing w:line="240" w:lineRule="auto"/>
        <w:contextualSpacing/>
        <w:rPr>
          <w:rFonts w:ascii="Arial" w:eastAsia="Aptos" w:hAnsi="Arial" w:cs="Arial"/>
          <w:b/>
          <w:bCs/>
        </w:rPr>
      </w:pPr>
      <w:r>
        <w:rPr>
          <w:rFonts w:ascii="Arial" w:eastAsia="Aptos" w:hAnsi="Arial" w:cs="Arial"/>
        </w:rPr>
        <w:t xml:space="preserve">Department of Pharmacological and Pharmaceutical Sciences, </w:t>
      </w:r>
      <w:r w:rsidRPr="00201A0F">
        <w:rPr>
          <w:rFonts w:ascii="Arial" w:eastAsia="Aptos" w:hAnsi="Arial" w:cs="Arial"/>
        </w:rPr>
        <w:t>College of Pharmacy, University of Houston</w:t>
      </w:r>
      <w:r>
        <w:rPr>
          <w:rFonts w:ascii="Arial" w:eastAsia="Aptos" w:hAnsi="Arial" w:cs="Arial"/>
        </w:rPr>
        <w:t xml:space="preserve">, Houston, TX, </w:t>
      </w:r>
      <w:r>
        <w:rPr>
          <w:rFonts w:ascii="Source Sans Pro" w:hAnsi="Source Sans Pro"/>
          <w:color w:val="111111"/>
          <w:sz w:val="27"/>
          <w:szCs w:val="27"/>
          <w:shd w:val="clear" w:color="auto" w:fill="FFFFFF"/>
        </w:rPr>
        <w:t>77204-5039</w:t>
      </w:r>
    </w:p>
    <w:p w14:paraId="3618BFB7" w14:textId="77777777" w:rsidR="006D6EAB" w:rsidRPr="00201A0F" w:rsidRDefault="006D6EAB" w:rsidP="006D6EAB">
      <w:pPr>
        <w:spacing w:line="240" w:lineRule="auto"/>
        <w:rPr>
          <w:rFonts w:ascii="Arial" w:eastAsia="Aptos" w:hAnsi="Arial" w:cs="Arial"/>
        </w:rPr>
      </w:pPr>
      <w:r w:rsidRPr="00201A0F">
        <w:rPr>
          <w:rFonts w:ascii="Arial" w:eastAsia="Aptos" w:hAnsi="Arial" w:cs="Arial"/>
        </w:rPr>
        <w:t># - authors contributed equally</w:t>
      </w:r>
    </w:p>
    <w:p w14:paraId="6E7FAD70" w14:textId="77777777" w:rsidR="006D6EAB" w:rsidRPr="00201A0F" w:rsidRDefault="006D6EAB" w:rsidP="006D6EAB">
      <w:pPr>
        <w:spacing w:line="240" w:lineRule="auto"/>
        <w:rPr>
          <w:rFonts w:ascii="Arial" w:eastAsia="Aptos" w:hAnsi="Arial" w:cs="Arial"/>
        </w:rPr>
      </w:pPr>
      <w:r w:rsidRPr="00201A0F">
        <w:rPr>
          <w:rFonts w:ascii="Arial" w:eastAsia="Aptos" w:hAnsi="Arial" w:cs="Arial"/>
        </w:rPr>
        <w:t>*</w:t>
      </w:r>
      <w:r w:rsidRPr="00201A0F">
        <w:rPr>
          <w:rFonts w:ascii="Arial" w:eastAsia="Aptos" w:hAnsi="Arial" w:cs="Arial"/>
          <w:b/>
          <w:bCs/>
        </w:rPr>
        <w:t xml:space="preserve"> </w:t>
      </w:r>
      <w:r w:rsidRPr="00201A0F">
        <w:rPr>
          <w:rFonts w:ascii="Arial" w:eastAsia="Aptos" w:hAnsi="Arial" w:cs="Arial"/>
        </w:rPr>
        <w:t>To whom correspondence should be addressed:</w:t>
      </w:r>
    </w:p>
    <w:p w14:paraId="332D9959" w14:textId="77777777" w:rsidR="006D6EAB" w:rsidRPr="00201A0F" w:rsidRDefault="006D6EAB" w:rsidP="006D6EAB">
      <w:pPr>
        <w:spacing w:line="240" w:lineRule="auto"/>
        <w:rPr>
          <w:rFonts w:ascii="Arial" w:eastAsia="Aptos" w:hAnsi="Arial" w:cs="Arial"/>
        </w:rPr>
      </w:pPr>
      <w:r w:rsidRPr="00201A0F">
        <w:rPr>
          <w:rFonts w:ascii="Arial" w:eastAsia="Aptos" w:hAnsi="Arial" w:cs="Arial"/>
        </w:rPr>
        <w:t xml:space="preserve">Dr. Ruslan Rafikov </w:t>
      </w:r>
      <w:hyperlink r:id="rId5" w:history="1">
        <w:r w:rsidRPr="00201A0F">
          <w:rPr>
            <w:rFonts w:ascii="Arial" w:eastAsia="Aptos" w:hAnsi="Arial" w:cs="Arial"/>
            <w:color w:val="467886"/>
            <w:u w:val="single"/>
          </w:rPr>
          <w:t>rrafikov@iu.edu</w:t>
        </w:r>
      </w:hyperlink>
    </w:p>
    <w:p w14:paraId="7760C851" w14:textId="77777777" w:rsidR="006D6EAB" w:rsidRPr="00201A0F" w:rsidRDefault="006D6EAB" w:rsidP="006D6EAB">
      <w:pPr>
        <w:spacing w:line="240" w:lineRule="auto"/>
        <w:rPr>
          <w:rFonts w:ascii="Arial" w:eastAsia="Aptos" w:hAnsi="Arial" w:cs="Arial"/>
        </w:rPr>
      </w:pPr>
      <w:r w:rsidRPr="00201A0F">
        <w:rPr>
          <w:rFonts w:ascii="Arial" w:eastAsia="Aptos" w:hAnsi="Arial" w:cs="Arial"/>
          <w:b/>
          <w:bCs/>
        </w:rPr>
        <w:t xml:space="preserve">Running title: </w:t>
      </w:r>
      <w:bookmarkStart w:id="0" w:name="_Hlk234428476"/>
      <w:r w:rsidRPr="00FD6732">
        <w:rPr>
          <w:rFonts w:ascii="Arial" w:eastAsia="Aptos" w:hAnsi="Arial" w:cs="Arial"/>
        </w:rPr>
        <w:t>Dual-node disruption of the EndMT fate branch point</w:t>
      </w:r>
    </w:p>
    <w:bookmarkEnd w:id="0"/>
    <w:p w14:paraId="56F1B539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7C534CEE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063F31C0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3D51A2FA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3CE1CDC3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2DA4598A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7FADF637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52DCF5AE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3C4DC86B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3C3FAD0B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77EC3377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1FDBE224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1CDF286B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7CD4B4A1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5182F50C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146250DA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7CC26F0F" w14:textId="77777777" w:rsidR="006D6EAB" w:rsidRDefault="006D6EAB" w:rsidP="006D6EAB">
      <w:pPr>
        <w:rPr>
          <w:rFonts w:ascii="Arial" w:hAnsi="Arial" w:cs="Arial"/>
          <w:b/>
          <w:bCs/>
        </w:rPr>
      </w:pPr>
    </w:p>
    <w:p w14:paraId="33357C20" w14:textId="7DF4E268" w:rsidR="00CE5199" w:rsidRDefault="00CE5199" w:rsidP="006D6EAB">
      <w:pPr>
        <w:rPr>
          <w:rFonts w:ascii="Arial" w:hAnsi="Arial" w:cs="Arial"/>
          <w:b/>
          <w:bCs/>
        </w:rPr>
      </w:pPr>
      <w:r w:rsidRPr="00CE5199">
        <w:rPr>
          <w:rFonts w:ascii="Arial" w:hAnsi="Arial" w:cs="Arial"/>
          <w:b/>
          <w:bCs/>
        </w:rPr>
        <w:lastRenderedPageBreak/>
        <w:t xml:space="preserve">Supplemental Data 2. Kinome profiling reveals broad kinase </w:t>
      </w:r>
      <w:r>
        <w:rPr>
          <w:rFonts w:ascii="Arial" w:hAnsi="Arial" w:cs="Arial"/>
          <w:b/>
          <w:bCs/>
        </w:rPr>
        <w:t xml:space="preserve">(394 kinases) </w:t>
      </w:r>
      <w:r w:rsidRPr="00CE5199">
        <w:rPr>
          <w:rFonts w:ascii="Arial" w:hAnsi="Arial" w:cs="Arial"/>
          <w:b/>
          <w:bCs/>
        </w:rPr>
        <w:t>inhibition by TK22 at 10 µM.</w:t>
      </w:r>
    </w:p>
    <w:p w14:paraId="4214B07C" w14:textId="77777777" w:rsidR="00CE5199" w:rsidRDefault="00CE5199" w:rsidP="006D6EAB">
      <w:pPr>
        <w:rPr>
          <w:rFonts w:ascii="Arial" w:hAnsi="Arial" w:cs="Arial"/>
          <w:b/>
          <w:bCs/>
        </w:rPr>
      </w:pPr>
    </w:p>
    <w:p w14:paraId="577F08E1" w14:textId="6DF1A8A9" w:rsidR="001A3F90" w:rsidRDefault="00CE5199" w:rsidP="006D6EAB">
      <w:pPr>
        <w:rPr>
          <w:rFonts w:ascii="Arial" w:hAnsi="Arial" w:cs="Arial"/>
          <w:b/>
          <w:bCs/>
        </w:rPr>
      </w:pPr>
      <w:hyperlink r:id="rId6" w:history="1">
        <w:r w:rsidRPr="00867818">
          <w:rPr>
            <w:rStyle w:val="Hyperlink"/>
            <w:rFonts w:ascii="Arial" w:hAnsi="Arial" w:cs="Arial"/>
            <w:b/>
            <w:bCs/>
          </w:rPr>
          <w:t>https://acrobat.adobe.com/id/urn:aaid:sc:VA6C2:eae54f11-225f-41a9-8037-0151c057aa71</w:t>
        </w:r>
      </w:hyperlink>
    </w:p>
    <w:p w14:paraId="394B624A" w14:textId="77777777" w:rsidR="00CE5199" w:rsidRDefault="00CE5199" w:rsidP="006D6EAB">
      <w:pPr>
        <w:rPr>
          <w:rFonts w:ascii="Arial" w:hAnsi="Arial" w:cs="Arial"/>
          <w:b/>
          <w:bCs/>
        </w:rPr>
      </w:pPr>
    </w:p>
    <w:p w14:paraId="1D3845AE" w14:textId="4B8BA312" w:rsidR="006D6EAB" w:rsidRDefault="006D6EAB" w:rsidP="006D6EAB">
      <w:pPr>
        <w:rPr>
          <w:rFonts w:ascii="Arial" w:hAnsi="Arial" w:cs="Arial"/>
        </w:rPr>
      </w:pPr>
      <w:bookmarkStart w:id="1" w:name="_Hlk235023847"/>
      <w:r w:rsidRPr="000D76E0">
        <w:rPr>
          <w:rFonts w:ascii="Arial" w:hAnsi="Arial" w:cs="Arial"/>
          <w:b/>
          <w:bCs/>
        </w:rPr>
        <w:t>Supplementa</w:t>
      </w:r>
      <w:r>
        <w:rPr>
          <w:rFonts w:ascii="Arial" w:hAnsi="Arial" w:cs="Arial"/>
          <w:b/>
          <w:bCs/>
        </w:rPr>
        <w:t>l Data 2</w:t>
      </w:r>
      <w:r w:rsidRPr="000D76E0">
        <w:rPr>
          <w:rFonts w:ascii="Arial" w:hAnsi="Arial" w:cs="Arial"/>
          <w:b/>
          <w:bCs/>
        </w:rPr>
        <w:t xml:space="preserve">. </w:t>
      </w:r>
      <w:r w:rsidRPr="00C75B0B">
        <w:rPr>
          <w:rFonts w:ascii="Arial" w:hAnsi="Arial" w:cs="Arial"/>
          <w:b/>
          <w:bCs/>
        </w:rPr>
        <w:t>Kinome profiling reveals broad kinase inhibition by TK22 at 10 µM.</w:t>
      </w:r>
      <w:r w:rsidRPr="00C75B0B">
        <w:rPr>
          <w:rFonts w:ascii="Arial" w:hAnsi="Arial" w:cs="Arial"/>
        </w:rPr>
        <w:t xml:space="preserve"> </w:t>
      </w:r>
    </w:p>
    <w:bookmarkEnd w:id="1"/>
    <w:p w14:paraId="12D5D73D" w14:textId="17F36F25" w:rsidR="006D6EAB" w:rsidRDefault="006D6EAB" w:rsidP="006D6EAB">
      <w:pPr>
        <w:jc w:val="both"/>
        <w:rPr>
          <w:rFonts w:ascii="Arial" w:hAnsi="Arial" w:cs="Arial"/>
        </w:rPr>
      </w:pPr>
      <w:r w:rsidRPr="00C75B0B">
        <w:rPr>
          <w:rFonts w:ascii="Arial" w:hAnsi="Arial" w:cs="Arial"/>
        </w:rPr>
        <w:t>Kinome profiling of TK22 was performed against a panel of 3</w:t>
      </w:r>
      <w:r>
        <w:rPr>
          <w:rFonts w:ascii="Arial" w:hAnsi="Arial" w:cs="Arial"/>
        </w:rPr>
        <w:t>94</w:t>
      </w:r>
      <w:r w:rsidRPr="00C75B0B">
        <w:rPr>
          <w:rFonts w:ascii="Arial" w:hAnsi="Arial" w:cs="Arial"/>
        </w:rPr>
        <w:t xml:space="preserve"> kinases at a single concentration of 10 µM.</w:t>
      </w:r>
      <w:r>
        <w:rPr>
          <w:rFonts w:ascii="Arial" w:hAnsi="Arial" w:cs="Arial"/>
        </w:rPr>
        <w:t xml:space="preserve"> </w:t>
      </w:r>
      <w:r w:rsidRPr="00C75B0B">
        <w:rPr>
          <w:rFonts w:ascii="Arial" w:hAnsi="Arial" w:cs="Arial"/>
        </w:rPr>
        <w:t>At this concentration, TK22 exhibited broad multi-kinase inhibitory activity rather than selective inhibition of CDK5, with numerous kinases showing 92–99% inhibition. The most strongly inhibited targets were enriched within the CAMK, CDK, tyrosine kinase, MAPK, and AMPK kinase families. Because the profiling concentration (10 µM) substantially exceeds the biochemical IC</w:t>
      </w:r>
      <w:r w:rsidRPr="00C75B0B">
        <w:rPr>
          <w:rFonts w:ascii="Cambria Math" w:hAnsi="Cambria Math" w:cs="Cambria Math"/>
        </w:rPr>
        <w:t>₅₀</w:t>
      </w:r>
      <w:r w:rsidRPr="00C75B0B">
        <w:rPr>
          <w:rFonts w:ascii="Arial" w:hAnsi="Arial" w:cs="Arial"/>
        </w:rPr>
        <w:t xml:space="preserve"> of TK22 for CDK5 (181 nM), these results indicate broad inhibition of ATP-binding kinases under the assay conditions.</w:t>
      </w:r>
    </w:p>
    <w:p w14:paraId="30AF0D63" w14:textId="77777777" w:rsidR="006D6EAB" w:rsidRDefault="006D6EAB" w:rsidP="006D6EAB">
      <w:pPr>
        <w:jc w:val="both"/>
        <w:rPr>
          <w:rFonts w:ascii="Arial" w:hAnsi="Arial" w:cs="Arial"/>
        </w:rPr>
      </w:pPr>
    </w:p>
    <w:p w14:paraId="44BD979B" w14:textId="77777777" w:rsidR="00231109" w:rsidRDefault="00231109"/>
    <w:sectPr w:rsidR="00231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E1579"/>
    <w:multiLevelType w:val="hybridMultilevel"/>
    <w:tmpl w:val="964EA774"/>
    <w:lvl w:ilvl="0" w:tplc="9C6EB5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5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09"/>
    <w:rsid w:val="00165232"/>
    <w:rsid w:val="001A3F90"/>
    <w:rsid w:val="00231109"/>
    <w:rsid w:val="006D6EAB"/>
    <w:rsid w:val="00A61470"/>
    <w:rsid w:val="00B3328C"/>
    <w:rsid w:val="00B72956"/>
    <w:rsid w:val="00C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86964"/>
  <w15:chartTrackingRefBased/>
  <w15:docId w15:val="{1FB57016-AB26-4E84-AA46-699F62BA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EAB"/>
  </w:style>
  <w:style w:type="paragraph" w:styleId="Heading1">
    <w:name w:val="heading 1"/>
    <w:basedOn w:val="Normal"/>
    <w:next w:val="Normal"/>
    <w:link w:val="Heading1Char"/>
    <w:uiPriority w:val="9"/>
    <w:qFormat/>
    <w:rsid w:val="00231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1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F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F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51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robat.adobe.com/id/urn:aaid:sc:VA6C2:eae54f11-225f-41a9-8037-0151c057aa71" TargetMode="External"/><Relationship Id="rId5" Type="http://schemas.openxmlformats.org/officeDocument/2006/relationships/hyperlink" Target="mailto:rrafikov@i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Bharti, Dinesh</dc:creator>
  <cp:keywords/>
  <dc:description/>
  <cp:lastModifiedBy>Rafikov, Ruslan</cp:lastModifiedBy>
  <cp:revision>3</cp:revision>
  <dcterms:created xsi:type="dcterms:W3CDTF">2026-07-15T20:07:00Z</dcterms:created>
  <dcterms:modified xsi:type="dcterms:W3CDTF">2026-07-16T20:19:00Z</dcterms:modified>
</cp:coreProperties>
</file>