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D9C4CD" w14:textId="77777777" w:rsidR="00025D14" w:rsidRPr="00081086" w:rsidRDefault="00025D14" w:rsidP="00025D14">
      <w:pPr>
        <w:rPr>
          <w:rFonts w:ascii="Times New Roman" w:hAnsi="Times New Roman" w:cs="Times New Roman"/>
        </w:rPr>
      </w:pPr>
      <w:r w:rsidRPr="00081086">
        <w:rPr>
          <w:rFonts w:ascii="Times New Roman" w:hAnsi="Times New Roman" w:cs="Times New Roman"/>
        </w:rPr>
        <w:t>RESPONSE PASS ADDITION — Tool Provenance (Methods §2.3): Pocket prediction was performed using fpocket v4.0 (Le Guilloux et al., 2009), SiteMap v3.5 (Schrödinger LLC), and DoGSiteScorer (Volkamer et al., 2012) with default parameters. Homology models for targets lacking experimental PDB structures were generated using AlphaFold2 (Jumper et al., 2021) with model quality assessed by TM-score &gt;0.7.</w:t>
      </w:r>
    </w:p>
    <w:p w14:paraId="335FE4CF" w14:textId="77777777" w:rsidR="00025D14" w:rsidRPr="00081086" w:rsidRDefault="00025D14" w:rsidP="00025D14">
      <w:pPr>
        <w:rPr>
          <w:rFonts w:ascii="Times New Roman" w:hAnsi="Times New Roman" w:cs="Times New Roman"/>
        </w:rPr>
      </w:pPr>
      <w:r w:rsidRPr="00081086">
        <w:rPr>
          <w:rFonts w:ascii="Times New Roman" w:hAnsi="Times New Roman" w:cs="Times New Roman"/>
        </w:rPr>
        <w:t>RESPONSE PASS ADDITION — FAIR Compliance (Declarations): SMILES and InChI strings for all referenced compounds (Mdivi-1, MitoQ, SS-31, EPI-743) are provided in Supplementary Table S2. ChEMBL identifiers are reported in Table 2 for all compounds with known ChEMBL entries.</w:t>
      </w:r>
    </w:p>
    <w:p w14:paraId="00D9A841" w14:textId="77777777" w:rsidR="00025D14" w:rsidRPr="00081086" w:rsidRDefault="00025D14" w:rsidP="00025D14">
      <w:pPr>
        <w:rPr>
          <w:rFonts w:ascii="Times New Roman" w:hAnsi="Times New Roman" w:cs="Times New Roman"/>
        </w:rPr>
      </w:pPr>
    </w:p>
    <w:p w14:paraId="39186AEE" w14:textId="77777777" w:rsidR="00025D14" w:rsidRPr="00081086" w:rsidRDefault="00025D14" w:rsidP="00025D14">
      <w:pPr>
        <w:rPr>
          <w:rFonts w:ascii="Times New Roman" w:hAnsi="Times New Roman" w:cs="Times New Roman"/>
        </w:rPr>
      </w:pPr>
      <w:r w:rsidRPr="00081086">
        <w:rPr>
          <w:rFonts w:ascii="Times New Roman" w:hAnsi="Times New Roman" w:cs="Times New Roman"/>
        </w:rPr>
        <w:t>[Supplementary Table S2 — SMILES Data] Machine-readable SMILES representations for all 201 compounds in the MitoCoreX compound library are provided in Supplementary Table S2 (SMILES_compound_library.csv). The file includes compound identifiers, canonical SMILES strings, InChIKeys, target identifiers, source database references (ChEMBL v34, DrugBank 5.0, PubChem), molecular weight, molecular formula, compound category, and primary literature citations. This resource facilitates cheminformatics interoperability and supports computational reproducibility.</w:t>
      </w:r>
    </w:p>
    <w:p w14:paraId="78CAF178" w14:textId="77777777" w:rsidR="00025D14" w:rsidRPr="00081086" w:rsidRDefault="00025D14" w:rsidP="00025D14">
      <w:pPr>
        <w:rPr>
          <w:rFonts w:ascii="Times New Roman" w:hAnsi="Times New Roman" w:cs="Times New Roman"/>
        </w:rPr>
      </w:pPr>
    </w:p>
    <w:p w14:paraId="1C9E7910" w14:textId="77777777" w:rsidR="00025D14" w:rsidRPr="00081086" w:rsidRDefault="00025D14" w:rsidP="00025D14">
      <w:pPr>
        <w:rPr>
          <w:rFonts w:ascii="Times New Roman" w:hAnsi="Times New Roman" w:cs="Times New Roman"/>
        </w:rPr>
      </w:pPr>
      <w:r w:rsidRPr="00081086">
        <w:rPr>
          <w:rFonts w:ascii="Times New Roman" w:hAnsi="Times New Roman" w:cs="Times New Roman"/>
        </w:rPr>
        <w:t>[Supplementary Table S3 — Comparative Compound Libraries] Table S3 (comparative_compound_libraries.csv) provides a systematic comparison of the MitoCoreX compound library (this work, n=201) against six existing mitochondria-targeted compound resources: Selleckchem Mitochondria Library (n=714), TargetMol Mitochondria Library (n=950), MedChemExpress Mitochondria Library (n=970), ChEMBL 35 mitochondrial target subset (&gt;2,000 compounds estimated), a published natural products HTS screen (n=57, Biomolecules 2024), and DrugBank 5.0 annotated mitochondrial compounds (~300 estimated). The MitoCoreX library is distinguished by: explicit coverage of 21 curated OXPHOS and mitochondrial quality control targets with defined selectivity profiles; full ADMET profiling for all 201 compounds using RDKit descriptors and Lipinski filters; eight compound category classifications supporting RL seed set construction; and open CC-BY 4.0 data availability (Zenodo DOI pending). Commercial libraries provide broader compound counts but lack target-resolved selectivity annotation, ADMET profiling, and open-access machine-readable data.</w:t>
      </w:r>
    </w:p>
    <w:p w14:paraId="06972705" w14:textId="77777777" w:rsidR="00025D14" w:rsidRPr="00081086" w:rsidRDefault="00025D14" w:rsidP="00025D14">
      <w:pPr>
        <w:rPr>
          <w:rFonts w:ascii="Times New Roman" w:hAnsi="Times New Roman" w:cs="Times New Roman"/>
          <w:sz w:val="20"/>
        </w:rPr>
      </w:pPr>
    </w:p>
    <w:p w14:paraId="6FC093E0" w14:textId="77777777" w:rsidR="00025D14" w:rsidRPr="00081086" w:rsidRDefault="00025D14" w:rsidP="00025D14">
      <w:pPr>
        <w:rPr>
          <w:rFonts w:ascii="Times New Roman" w:hAnsi="Times New Roman" w:cs="Times New Roman"/>
        </w:rPr>
      </w:pPr>
      <w:r w:rsidRPr="00081086">
        <w:rPr>
          <w:rFonts w:ascii="Times New Roman" w:hAnsi="Times New Roman" w:cs="Times New Roman"/>
          <w:sz w:val="20"/>
        </w:rPr>
        <w:t>R2 REVISION NOTE — Table 2 ChEMBL IDs (M2-MOD-01): ChEMBL identifiers added for priority compounds: Mdivi-1 (CHEMBL252556), MitoQ (CHEMBL1230382), SS-31/Elamipretide (CHEMBL4297597; note: clinical stage entry, ChEMBL confirmation pending), EPI-743 (CHEMBL2107731). For SS-31, ClinicalTrials.gov NCT02245620 is cited as primary identifier. Table 2 updated in the final submitted version.</w:t>
      </w:r>
    </w:p>
    <w:p w14:paraId="49F5E6E5" w14:textId="77777777" w:rsidR="00025D14" w:rsidRPr="00081086" w:rsidRDefault="00025D14" w:rsidP="00025D14">
      <w:pPr>
        <w:rPr>
          <w:rFonts w:ascii="Times New Roman" w:hAnsi="Times New Roman" w:cs="Times New Roman"/>
        </w:rPr>
      </w:pPr>
      <w:r w:rsidRPr="00081086">
        <w:rPr>
          <w:rFonts w:ascii="Times New Roman" w:hAnsi="Times New Roman" w:cs="Times New Roman"/>
          <w:sz w:val="20"/>
        </w:rPr>
        <w:t>R2 REVISION NOTE — Supplementary Table S3 Scoring Rubric (M2-MOD-02): A weighted scoring rubric has been added as Supplementary Table S3. Dimensions and weights: structural accessibility (25%), ligand efficiency (20%), pharmacological precedent (20%), mitochondrial delivery feasibility (20%), pocket geometry (15%). Each dimension scored 0-3. Tier 1 (high druggability): total score ≥9/15 (≥60%); Tier 2 (moderate): 6-8/15 (40-59%); Tier 3 (low): ≤5/15 (&lt;40%). Worked example for PINK1 (TGT_023): structural=3, LE=2, precedent=3, delivery=3, pocket=3; total=14/15 (Tier 1). See supplementary/scoring_rubric.csv for all 25 targets.</w:t>
      </w:r>
    </w:p>
    <w:p w14:paraId="79A7B608" w14:textId="77777777" w:rsidR="00025D14" w:rsidRPr="00081086" w:rsidRDefault="00025D14" w:rsidP="00025D14">
      <w:pPr>
        <w:rPr>
          <w:rFonts w:ascii="Times New Roman" w:hAnsi="Times New Roman" w:cs="Times New Roman"/>
        </w:rPr>
      </w:pPr>
    </w:p>
    <w:p w14:paraId="243FEF27" w14:textId="77777777" w:rsidR="009542D6" w:rsidRDefault="009542D6"/>
    <w:sectPr w:rsidR="009542D6" w:rsidSect="00025D14">
      <w:footerReference w:type="default" r:id="rId4"/>
      <w:pgSz w:w="12240" w:h="15840"/>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FF3EC1" w14:textId="77777777" w:rsidR="00025D14" w:rsidRDefault="00025D14">
    <w:pPr>
      <w:jc w:val="center"/>
    </w:pPr>
    <w:r>
      <w:rPr>
        <w:color w:val="666666"/>
        <w:sz w:val="18"/>
        <w:szCs w:val="18"/>
      </w:rPr>
      <w:t xml:space="preserve">Borges J. MitoCorex Chapter 2B.1 — </w:t>
    </w:r>
    <w:r>
      <w:rPr>
        <w:color w:val="666666"/>
        <w:sz w:val="18"/>
        <w:szCs w:val="18"/>
      </w:rPr>
      <w:fldChar w:fldCharType="begin"/>
    </w:r>
    <w:r>
      <w:rPr>
        <w:color w:val="666666"/>
        <w:sz w:val="18"/>
        <w:szCs w:val="18"/>
      </w:rPr>
      <w:instrText>PAGE</w:instrText>
    </w:r>
    <w:r>
      <w:rPr>
        <w:color w:val="666666"/>
        <w:sz w:val="18"/>
        <w:szCs w:val="18"/>
      </w:rPr>
      <w:fldChar w:fldCharType="separate"/>
    </w:r>
    <w:r>
      <w:rPr>
        <w:noProof/>
        <w:color w:val="666666"/>
        <w:sz w:val="18"/>
        <w:szCs w:val="18"/>
      </w:rPr>
      <w:t>1</w:t>
    </w:r>
    <w:r>
      <w:rPr>
        <w:color w:val="666666"/>
        <w:sz w:val="18"/>
        <w:szCs w:val="18"/>
      </w:rPr>
      <w:fldChar w:fldCharType="end"/>
    </w:r>
    <w:r>
      <w:rPr>
        <w:color w:val="666666"/>
        <w:sz w:val="18"/>
        <w:szCs w:val="18"/>
      </w:rPr>
      <w:t xml:space="preserve"> of </w:t>
    </w:r>
    <w:r>
      <w:rPr>
        <w:color w:val="666666"/>
        <w:sz w:val="18"/>
        <w:szCs w:val="18"/>
      </w:rPr>
      <w:fldChar w:fldCharType="begin"/>
    </w:r>
    <w:r>
      <w:rPr>
        <w:color w:val="666666"/>
        <w:sz w:val="18"/>
        <w:szCs w:val="18"/>
      </w:rPr>
      <w:instrText>NUMPAGES</w:instrText>
    </w:r>
    <w:r>
      <w:rPr>
        <w:color w:val="666666"/>
        <w:sz w:val="18"/>
        <w:szCs w:val="18"/>
      </w:rPr>
      <w:fldChar w:fldCharType="separate"/>
    </w:r>
    <w:r>
      <w:rPr>
        <w:noProof/>
        <w:color w:val="666666"/>
        <w:sz w:val="18"/>
        <w:szCs w:val="18"/>
      </w:rPr>
      <w:t>2</w:t>
    </w:r>
    <w:r>
      <w:rPr>
        <w:color w:val="666666"/>
        <w:sz w:val="18"/>
        <w:szCs w:val="18"/>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5D14"/>
    <w:rsid w:val="00025D14"/>
    <w:rsid w:val="00264C10"/>
    <w:rsid w:val="00470242"/>
    <w:rsid w:val="00726E03"/>
    <w:rsid w:val="007C593C"/>
    <w:rsid w:val="009542D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334B83"/>
  <w15:chartTrackingRefBased/>
  <w15:docId w15:val="{D46D8643-8B65-4FF0-B302-A52403AF49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5D14"/>
    <w:pPr>
      <w:spacing w:after="0" w:line="240" w:lineRule="auto"/>
    </w:pPr>
    <w:rPr>
      <w:rFonts w:ascii="Arial" w:eastAsia="Arial" w:hAnsi="Arial" w:cs="Arial"/>
      <w:kern w:val="0"/>
      <w:sz w:val="22"/>
      <w:szCs w:val="22"/>
      <w:lang w:eastAsia="en-US"/>
      <w14:ligatures w14:val="none"/>
    </w:rPr>
  </w:style>
  <w:style w:type="paragraph" w:styleId="Heading1">
    <w:name w:val="heading 1"/>
    <w:basedOn w:val="Normal"/>
    <w:next w:val="Normal"/>
    <w:link w:val="Heading1Char"/>
    <w:uiPriority w:val="9"/>
    <w:qFormat/>
    <w:rsid w:val="00025D14"/>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zh-CN"/>
      <w14:ligatures w14:val="standardContextual"/>
    </w:rPr>
  </w:style>
  <w:style w:type="paragraph" w:styleId="Heading2">
    <w:name w:val="heading 2"/>
    <w:basedOn w:val="Normal"/>
    <w:next w:val="Normal"/>
    <w:link w:val="Heading2Char"/>
    <w:uiPriority w:val="9"/>
    <w:semiHidden/>
    <w:unhideWhenUsed/>
    <w:qFormat/>
    <w:rsid w:val="00025D14"/>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zh-CN"/>
      <w14:ligatures w14:val="standardContextual"/>
    </w:rPr>
  </w:style>
  <w:style w:type="paragraph" w:styleId="Heading3">
    <w:name w:val="heading 3"/>
    <w:basedOn w:val="Normal"/>
    <w:next w:val="Normal"/>
    <w:link w:val="Heading3Char"/>
    <w:uiPriority w:val="9"/>
    <w:semiHidden/>
    <w:unhideWhenUsed/>
    <w:qFormat/>
    <w:rsid w:val="00025D14"/>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zh-CN"/>
      <w14:ligatures w14:val="standardContextual"/>
    </w:rPr>
  </w:style>
  <w:style w:type="paragraph" w:styleId="Heading4">
    <w:name w:val="heading 4"/>
    <w:basedOn w:val="Normal"/>
    <w:next w:val="Normal"/>
    <w:link w:val="Heading4Char"/>
    <w:uiPriority w:val="9"/>
    <w:semiHidden/>
    <w:unhideWhenUsed/>
    <w:qFormat/>
    <w:rsid w:val="00025D14"/>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eastAsia="zh-CN"/>
      <w14:ligatures w14:val="standardContextual"/>
    </w:rPr>
  </w:style>
  <w:style w:type="paragraph" w:styleId="Heading5">
    <w:name w:val="heading 5"/>
    <w:basedOn w:val="Normal"/>
    <w:next w:val="Normal"/>
    <w:link w:val="Heading5Char"/>
    <w:uiPriority w:val="9"/>
    <w:semiHidden/>
    <w:unhideWhenUsed/>
    <w:qFormat/>
    <w:rsid w:val="00025D14"/>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eastAsia="zh-CN"/>
      <w14:ligatures w14:val="standardContextual"/>
    </w:rPr>
  </w:style>
  <w:style w:type="paragraph" w:styleId="Heading6">
    <w:name w:val="heading 6"/>
    <w:basedOn w:val="Normal"/>
    <w:next w:val="Normal"/>
    <w:link w:val="Heading6Char"/>
    <w:uiPriority w:val="9"/>
    <w:semiHidden/>
    <w:unhideWhenUsed/>
    <w:qFormat/>
    <w:rsid w:val="00025D14"/>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eastAsia="zh-CN"/>
      <w14:ligatures w14:val="standardContextual"/>
    </w:rPr>
  </w:style>
  <w:style w:type="paragraph" w:styleId="Heading7">
    <w:name w:val="heading 7"/>
    <w:basedOn w:val="Normal"/>
    <w:next w:val="Normal"/>
    <w:link w:val="Heading7Char"/>
    <w:uiPriority w:val="9"/>
    <w:semiHidden/>
    <w:unhideWhenUsed/>
    <w:qFormat/>
    <w:rsid w:val="00025D14"/>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eastAsia="zh-CN"/>
      <w14:ligatures w14:val="standardContextual"/>
    </w:rPr>
  </w:style>
  <w:style w:type="paragraph" w:styleId="Heading8">
    <w:name w:val="heading 8"/>
    <w:basedOn w:val="Normal"/>
    <w:next w:val="Normal"/>
    <w:link w:val="Heading8Char"/>
    <w:uiPriority w:val="9"/>
    <w:semiHidden/>
    <w:unhideWhenUsed/>
    <w:qFormat/>
    <w:rsid w:val="00025D14"/>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eastAsia="zh-CN"/>
      <w14:ligatures w14:val="standardContextual"/>
    </w:rPr>
  </w:style>
  <w:style w:type="paragraph" w:styleId="Heading9">
    <w:name w:val="heading 9"/>
    <w:basedOn w:val="Normal"/>
    <w:next w:val="Normal"/>
    <w:link w:val="Heading9Char"/>
    <w:uiPriority w:val="9"/>
    <w:semiHidden/>
    <w:unhideWhenUsed/>
    <w:qFormat/>
    <w:rsid w:val="00025D14"/>
    <w:pPr>
      <w:keepNext/>
      <w:keepLines/>
      <w:spacing w:line="278" w:lineRule="auto"/>
      <w:outlineLvl w:val="8"/>
    </w:pPr>
    <w:rPr>
      <w:rFonts w:asciiTheme="minorHAnsi" w:eastAsiaTheme="majorEastAsia" w:hAnsiTheme="minorHAnsi" w:cstheme="majorBidi"/>
      <w:color w:val="272727" w:themeColor="text1" w:themeTint="D8"/>
      <w:kern w:val="2"/>
      <w:sz w:val="24"/>
      <w:szCs w:val="24"/>
      <w:lang w:eastAsia="zh-C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D1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25D1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25D1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25D1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25D1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25D1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25D1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25D1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25D14"/>
    <w:rPr>
      <w:rFonts w:eastAsiaTheme="majorEastAsia" w:cstheme="majorBidi"/>
      <w:color w:val="272727" w:themeColor="text1" w:themeTint="D8"/>
    </w:rPr>
  </w:style>
  <w:style w:type="paragraph" w:styleId="Title">
    <w:name w:val="Title"/>
    <w:basedOn w:val="Normal"/>
    <w:next w:val="Normal"/>
    <w:link w:val="TitleChar"/>
    <w:uiPriority w:val="10"/>
    <w:qFormat/>
    <w:rsid w:val="00025D14"/>
    <w:pPr>
      <w:spacing w:after="80"/>
      <w:contextualSpacing/>
    </w:pPr>
    <w:rPr>
      <w:rFonts w:asciiTheme="majorHAnsi" w:eastAsiaTheme="majorEastAsia" w:hAnsiTheme="majorHAnsi" w:cstheme="majorBidi"/>
      <w:spacing w:val="-10"/>
      <w:kern w:val="28"/>
      <w:sz w:val="56"/>
      <w:szCs w:val="56"/>
      <w:lang w:eastAsia="zh-CN"/>
      <w14:ligatures w14:val="standardContextual"/>
    </w:rPr>
  </w:style>
  <w:style w:type="character" w:customStyle="1" w:styleId="TitleChar">
    <w:name w:val="Title Char"/>
    <w:basedOn w:val="DefaultParagraphFont"/>
    <w:link w:val="Title"/>
    <w:uiPriority w:val="10"/>
    <w:rsid w:val="00025D1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25D14"/>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zh-CN"/>
      <w14:ligatures w14:val="standardContextual"/>
    </w:rPr>
  </w:style>
  <w:style w:type="character" w:customStyle="1" w:styleId="SubtitleChar">
    <w:name w:val="Subtitle Char"/>
    <w:basedOn w:val="DefaultParagraphFont"/>
    <w:link w:val="Subtitle"/>
    <w:uiPriority w:val="11"/>
    <w:rsid w:val="00025D1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25D14"/>
    <w:pPr>
      <w:spacing w:before="160" w:after="160" w:line="278" w:lineRule="auto"/>
      <w:jc w:val="center"/>
    </w:pPr>
    <w:rPr>
      <w:rFonts w:asciiTheme="minorHAnsi" w:eastAsiaTheme="minorEastAsia" w:hAnsiTheme="minorHAnsi" w:cstheme="minorBidi"/>
      <w:i/>
      <w:iCs/>
      <w:color w:val="404040" w:themeColor="text1" w:themeTint="BF"/>
      <w:kern w:val="2"/>
      <w:sz w:val="24"/>
      <w:szCs w:val="24"/>
      <w:lang w:eastAsia="zh-CN"/>
      <w14:ligatures w14:val="standardContextual"/>
    </w:rPr>
  </w:style>
  <w:style w:type="character" w:customStyle="1" w:styleId="QuoteChar">
    <w:name w:val="Quote Char"/>
    <w:basedOn w:val="DefaultParagraphFont"/>
    <w:link w:val="Quote"/>
    <w:uiPriority w:val="29"/>
    <w:rsid w:val="00025D14"/>
    <w:rPr>
      <w:i/>
      <w:iCs/>
      <w:color w:val="404040" w:themeColor="text1" w:themeTint="BF"/>
    </w:rPr>
  </w:style>
  <w:style w:type="paragraph" w:styleId="ListParagraph">
    <w:name w:val="List Paragraph"/>
    <w:basedOn w:val="Normal"/>
    <w:uiPriority w:val="34"/>
    <w:qFormat/>
    <w:rsid w:val="00025D14"/>
    <w:pPr>
      <w:spacing w:after="160" w:line="278" w:lineRule="auto"/>
      <w:ind w:left="720"/>
      <w:contextualSpacing/>
    </w:pPr>
    <w:rPr>
      <w:rFonts w:asciiTheme="minorHAnsi" w:eastAsiaTheme="minorEastAsia" w:hAnsiTheme="minorHAnsi" w:cstheme="minorBidi"/>
      <w:kern w:val="2"/>
      <w:sz w:val="24"/>
      <w:szCs w:val="24"/>
      <w:lang w:eastAsia="zh-CN"/>
      <w14:ligatures w14:val="standardContextual"/>
    </w:rPr>
  </w:style>
  <w:style w:type="character" w:styleId="IntenseEmphasis">
    <w:name w:val="Intense Emphasis"/>
    <w:basedOn w:val="DefaultParagraphFont"/>
    <w:uiPriority w:val="21"/>
    <w:qFormat/>
    <w:rsid w:val="00025D14"/>
    <w:rPr>
      <w:i/>
      <w:iCs/>
      <w:color w:val="0F4761" w:themeColor="accent1" w:themeShade="BF"/>
    </w:rPr>
  </w:style>
  <w:style w:type="paragraph" w:styleId="IntenseQuote">
    <w:name w:val="Intense Quote"/>
    <w:basedOn w:val="Normal"/>
    <w:next w:val="Normal"/>
    <w:link w:val="IntenseQuoteChar"/>
    <w:uiPriority w:val="30"/>
    <w:qFormat/>
    <w:rsid w:val="00025D14"/>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EastAsia" w:hAnsiTheme="minorHAnsi" w:cstheme="minorBidi"/>
      <w:i/>
      <w:iCs/>
      <w:color w:val="0F4761" w:themeColor="accent1" w:themeShade="BF"/>
      <w:kern w:val="2"/>
      <w:sz w:val="24"/>
      <w:szCs w:val="24"/>
      <w:lang w:eastAsia="zh-CN"/>
      <w14:ligatures w14:val="standardContextual"/>
    </w:rPr>
  </w:style>
  <w:style w:type="character" w:customStyle="1" w:styleId="IntenseQuoteChar">
    <w:name w:val="Intense Quote Char"/>
    <w:basedOn w:val="DefaultParagraphFont"/>
    <w:link w:val="IntenseQuote"/>
    <w:uiPriority w:val="30"/>
    <w:rsid w:val="00025D14"/>
    <w:rPr>
      <w:i/>
      <w:iCs/>
      <w:color w:val="0F4761" w:themeColor="accent1" w:themeShade="BF"/>
    </w:rPr>
  </w:style>
  <w:style w:type="character" w:styleId="IntenseReference">
    <w:name w:val="Intense Reference"/>
    <w:basedOn w:val="DefaultParagraphFont"/>
    <w:uiPriority w:val="32"/>
    <w:qFormat/>
    <w:rsid w:val="00025D1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430</Words>
  <Characters>2950</Characters>
  <Application>Microsoft Office Word</Application>
  <DocSecurity>0</DocSecurity>
  <Lines>81</Lines>
  <Paragraphs>45</Paragraphs>
  <ScaleCrop>false</ScaleCrop>
  <Company/>
  <LinksUpToDate>false</LinksUpToDate>
  <CharactersWithSpaces>3335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2026-04-07T14:45:00Z</dcterms:created>
  <dcterms:modified xsi:type="dcterms:W3CDTF">2026-04-07T14:46:00Z</dcterms:modified>
</cp:coreProperties>
</file>