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41C0" w:rsidRPr="00081086" w:rsidRDefault="004F41C0" w:rsidP="004F41C0">
      <w:pPr>
        <w:spacing w:before="120" w:after="80"/>
        <w:rPr>
          <w:rFonts w:asciiTheme="minorHAnsi" w:hAnsiTheme="minorHAnsi" w:cstheme="minorHAnsi"/>
        </w:rPr>
      </w:pPr>
      <w:r w:rsidRPr="00081086">
        <w:rPr>
          <w:rFonts w:asciiTheme="minorHAnsi" w:hAnsiTheme="minorHAnsi" w:cstheme="minorHAnsi"/>
          <w:b/>
          <w:bCs/>
        </w:rPr>
        <w:t xml:space="preserve">Table 3. Five highest-priority targets for </w:t>
      </w:r>
      <w:proofErr w:type="spellStart"/>
      <w:r w:rsidRPr="00081086">
        <w:rPr>
          <w:rFonts w:asciiTheme="minorHAnsi" w:hAnsiTheme="minorHAnsi" w:cstheme="minorHAnsi"/>
          <w:b/>
          <w:bCs/>
        </w:rPr>
        <w:t>DrugSynth</w:t>
      </w:r>
      <w:proofErr w:type="spellEnd"/>
      <w:r w:rsidRPr="00081086">
        <w:rPr>
          <w:rFonts w:asciiTheme="minorHAnsi" w:hAnsiTheme="minorHAnsi" w:cstheme="minorHAnsi"/>
          <w:b/>
          <w:bCs/>
        </w:rPr>
        <w:t xml:space="preserve"> AI molecule design (first wave).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929"/>
        <w:gridCol w:w="1196"/>
        <w:gridCol w:w="1794"/>
        <w:gridCol w:w="2155"/>
        <w:gridCol w:w="2586"/>
      </w:tblGrid>
      <w:tr w:rsidR="004F41C0" w:rsidRPr="00081086" w:rsidTr="007856A0">
        <w:trPr>
          <w:tblHeader/>
        </w:trPr>
        <w:tc>
          <w:tcPr>
            <w:tcW w:w="7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41C0" w:rsidRPr="00081086" w:rsidRDefault="004F41C0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b/>
                <w:bCs/>
                <w:color w:val="FFFFFF"/>
                <w:sz w:val="19"/>
                <w:szCs w:val="19"/>
              </w:rPr>
              <w:t>Rank</w:t>
            </w:r>
          </w:p>
        </w:tc>
        <w:tc>
          <w:tcPr>
            <w:tcW w:w="9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41C0" w:rsidRPr="00081086" w:rsidRDefault="004F41C0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b/>
                <w:bCs/>
                <w:color w:val="FFFFFF"/>
                <w:sz w:val="19"/>
                <w:szCs w:val="19"/>
              </w:rPr>
              <w:t>Target</w:t>
            </w:r>
          </w:p>
        </w:tc>
        <w:tc>
          <w:tcPr>
            <w:tcW w:w="12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41C0" w:rsidRPr="00081086" w:rsidRDefault="004F41C0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b/>
                <w:bCs/>
                <w:color w:val="FFFFFF"/>
                <w:sz w:val="19"/>
                <w:szCs w:val="19"/>
              </w:rPr>
              <w:t>Gene</w:t>
            </w:r>
          </w:p>
        </w:tc>
        <w:tc>
          <w:tcPr>
            <w:tcW w:w="18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41C0" w:rsidRPr="00081086" w:rsidRDefault="004F41C0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b/>
                <w:bCs/>
                <w:color w:val="FFFFFF"/>
                <w:sz w:val="19"/>
                <w:szCs w:val="19"/>
              </w:rPr>
              <w:t>MOA Class</w:t>
            </w:r>
          </w:p>
        </w:tc>
        <w:tc>
          <w:tcPr>
            <w:tcW w:w="216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41C0" w:rsidRPr="00081086" w:rsidRDefault="004F41C0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b/>
                <w:bCs/>
                <w:color w:val="FFFFFF"/>
                <w:sz w:val="19"/>
                <w:szCs w:val="19"/>
              </w:rPr>
              <w:t>Best Scaffold Available</w:t>
            </w:r>
          </w:p>
        </w:tc>
        <w:tc>
          <w:tcPr>
            <w:tcW w:w="26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41C0" w:rsidRPr="00081086" w:rsidRDefault="004F41C0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b/>
                <w:bCs/>
                <w:color w:val="FFFFFF"/>
                <w:sz w:val="19"/>
                <w:szCs w:val="19"/>
              </w:rPr>
              <w:t>Design Rationale</w:t>
            </w:r>
          </w:p>
        </w:tc>
      </w:tr>
      <w:tr w:rsidR="004F41C0" w:rsidRPr="00081086" w:rsidTr="007856A0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41C0" w:rsidRPr="00081086" w:rsidRDefault="004F41C0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1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41C0" w:rsidRPr="00081086" w:rsidRDefault="004F41C0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TGT_016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41C0" w:rsidRPr="00081086" w:rsidRDefault="004F41C0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DNM1L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41C0" w:rsidRPr="00081086" w:rsidRDefault="004F41C0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GTPase inhibitor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41C0" w:rsidRPr="00081086" w:rsidRDefault="004F41C0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Mdivi-1 (quinazolinone)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41C0" w:rsidRPr="00081086" w:rsidRDefault="004F41C0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Cytoplasmic GTPase; HIGHEST delivery; Mdivi-1 defines pharmacophore; selectivity engineering opportunity via middle domain</w:t>
            </w:r>
          </w:p>
        </w:tc>
      </w:tr>
      <w:tr w:rsidR="004F41C0" w:rsidRPr="00081086" w:rsidTr="007856A0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41C0" w:rsidRPr="00081086" w:rsidRDefault="004F41C0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2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41C0" w:rsidRPr="00081086" w:rsidRDefault="004F41C0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TGT_018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41C0" w:rsidRPr="00081086" w:rsidRDefault="004F41C0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PINK1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41C0" w:rsidRPr="00081086" w:rsidRDefault="004F41C0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Kinase activator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41C0" w:rsidRPr="00081086" w:rsidRDefault="004F41C0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Kinetin (adenine analog)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41C0" w:rsidRPr="00081086" w:rsidRDefault="004F41C0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Kinase ATP cleft; HIGHEST delivery; Phase II clinical precedent; loss-of-function Parkinson mutations define rescue direction</w:t>
            </w:r>
          </w:p>
        </w:tc>
      </w:tr>
      <w:tr w:rsidR="004F41C0" w:rsidRPr="00081086" w:rsidTr="007856A0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41C0" w:rsidRPr="00081086" w:rsidRDefault="004F41C0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41C0" w:rsidRPr="00081086" w:rsidRDefault="004F41C0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TGT_024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41C0" w:rsidRPr="00081086" w:rsidRDefault="004F41C0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NFE2L2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41C0" w:rsidRPr="00081086" w:rsidRDefault="004F41C0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PPI disruptor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41C0" w:rsidRPr="00081086" w:rsidRDefault="004F41C0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KI696 (non-covalent Keap1 disruptor)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41C0" w:rsidRPr="00081086" w:rsidRDefault="004F41C0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 xml:space="preserve">HIGHEST </w:t>
            </w:r>
            <w:proofErr w:type="gramStart"/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delivery;</w:t>
            </w:r>
            <w:proofErr w:type="gramEnd"/>
            <w:r w:rsidRPr="00081086">
              <w:rPr>
                <w:rFonts w:asciiTheme="minorHAnsi" w:hAnsiTheme="minorHAnsi" w:cstheme="minorHAnsi"/>
                <w:sz w:val="19"/>
                <w:szCs w:val="19"/>
              </w:rPr>
              <w:t xml:space="preserve"> Phase III bardoxolone establishes translational path; non-covalent design avoids cysteine selectivity issues</w:t>
            </w:r>
          </w:p>
        </w:tc>
      </w:tr>
      <w:tr w:rsidR="004F41C0" w:rsidRPr="00081086" w:rsidTr="007856A0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41C0" w:rsidRPr="00081086" w:rsidRDefault="004F41C0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4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41C0" w:rsidRPr="00081086" w:rsidRDefault="004F41C0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TGT_006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41C0" w:rsidRPr="00081086" w:rsidRDefault="004F41C0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NDUFV1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41C0" w:rsidRPr="00081086" w:rsidRDefault="004F41C0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FMN site modulator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41C0" w:rsidRPr="00081086" w:rsidRDefault="004F41C0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IACS-010759 (Phase I scaffold)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41C0" w:rsidRPr="00081086" w:rsidRDefault="004F41C0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FMN binding cleft fully matrix-exposed; IACS-010759 provides optimized pharmacophore; rescue (activation) not inhibition is design direction</w:t>
            </w:r>
          </w:p>
        </w:tc>
      </w:tr>
      <w:tr w:rsidR="004F41C0" w:rsidRPr="00081086" w:rsidTr="007856A0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41C0" w:rsidRPr="00081086" w:rsidRDefault="004F41C0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5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41C0" w:rsidRPr="00081086" w:rsidRDefault="004F41C0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TGT_007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41C0" w:rsidRPr="00081086" w:rsidRDefault="004F41C0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SDHA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41C0" w:rsidRPr="00081086" w:rsidRDefault="004F41C0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FAD/succinate analog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41C0" w:rsidRPr="00081086" w:rsidRDefault="004F41C0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Malonate/succinate analogs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41C0" w:rsidRPr="00081086" w:rsidRDefault="004F41C0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Unique TCA/OXPHOS bridge; FAD site with crystal structures; Leigh syndrome variants in SDHA define rescue target population</w:t>
            </w:r>
          </w:p>
        </w:tc>
      </w:tr>
    </w:tbl>
    <w:p w:rsidR="004F41C0" w:rsidRPr="00081086" w:rsidRDefault="004F41C0" w:rsidP="004F41C0">
      <w:pPr>
        <w:rPr>
          <w:rFonts w:asciiTheme="minorHAnsi" w:hAnsiTheme="minorHAnsi" w:cstheme="minorHAnsi"/>
        </w:rPr>
      </w:pPr>
    </w:p>
    <w:p w:rsidR="004F41C0" w:rsidRDefault="004F41C0"/>
    <w:sectPr w:rsidR="004F41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C0"/>
    <w:rsid w:val="004F41C0"/>
    <w:rsid w:val="0064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FC41ACC-7CF4-DF4F-886E-7CAFDAD8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1C0"/>
    <w:pPr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41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1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1C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1C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1C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1C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1C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1C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1C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1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1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1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1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1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1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1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1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F4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1C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F4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1C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F41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1C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F41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1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1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970</Characters>
  <Application>Microsoft Office Word</Application>
  <DocSecurity>0</DocSecurity>
  <Lines>63</Lines>
  <Paragraphs>37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Borges, Julian</dc:creator>
  <cp:keywords/>
  <dc:description/>
  <cp:lastModifiedBy>Borges, Julian</cp:lastModifiedBy>
  <cp:revision>1</cp:revision>
  <dcterms:created xsi:type="dcterms:W3CDTF">2026-04-02T15:59:00Z</dcterms:created>
  <dcterms:modified xsi:type="dcterms:W3CDTF">2026-04-02T15:59:00Z</dcterms:modified>
</cp:coreProperties>
</file>