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4B38" w14:textId="14383970" w:rsidR="00CD5959" w:rsidRPr="00CD5959" w:rsidRDefault="00CD5959" w:rsidP="00CD5959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CD5959">
        <w:rPr>
          <w:rFonts w:ascii="Times New Roman" w:eastAsia="Times New Roman" w:hAnsi="Times New Roman" w:cs="Times New Roman"/>
          <w:b/>
        </w:rPr>
        <w:t>Supplementary</w:t>
      </w:r>
      <w:proofErr w:type="spellEnd"/>
      <w:r w:rsidRPr="00CD595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D5959">
        <w:rPr>
          <w:rFonts w:ascii="Times New Roman" w:eastAsia="Times New Roman" w:hAnsi="Times New Roman" w:cs="Times New Roman"/>
          <w:b/>
        </w:rPr>
        <w:t>Materials</w:t>
      </w:r>
      <w:proofErr w:type="spellEnd"/>
      <w:r w:rsidRPr="00CD5959">
        <w:rPr>
          <w:rFonts w:ascii="Times New Roman" w:eastAsia="Times New Roman" w:hAnsi="Times New Roman" w:cs="Times New Roman"/>
          <w:b/>
        </w:rPr>
        <w:t xml:space="preserve"> </w:t>
      </w:r>
      <w:r w:rsidRPr="00CD5959">
        <w:rPr>
          <w:rFonts w:ascii="Times New Roman" w:eastAsia="Times New Roman" w:hAnsi="Times New Roman" w:cs="Times New Roman"/>
          <w:b/>
          <w:i/>
          <w:iCs/>
        </w:rPr>
        <w:t xml:space="preserve">Practice and challenges of </w:t>
      </w:r>
      <w:proofErr w:type="spellStart"/>
      <w:r w:rsidRPr="00CD5959">
        <w:rPr>
          <w:rFonts w:ascii="Times New Roman" w:eastAsia="Times New Roman" w:hAnsi="Times New Roman" w:cs="Times New Roman"/>
          <w:b/>
          <w:i/>
          <w:iCs/>
        </w:rPr>
        <w:t>newborn</w:t>
      </w:r>
      <w:proofErr w:type="spellEnd"/>
      <w:r w:rsidRPr="00CD5959">
        <w:rPr>
          <w:rFonts w:ascii="Times New Roman" w:eastAsia="Times New Roman" w:hAnsi="Times New Roman" w:cs="Times New Roman"/>
          <w:b/>
          <w:i/>
          <w:iCs/>
        </w:rPr>
        <w:t xml:space="preserve"> hearing screening: Analysis of a </w:t>
      </w:r>
      <w:proofErr w:type="spellStart"/>
      <w:r w:rsidRPr="00CD5959">
        <w:rPr>
          <w:rFonts w:ascii="Times New Roman" w:eastAsia="Times New Roman" w:hAnsi="Times New Roman" w:cs="Times New Roman"/>
          <w:b/>
          <w:i/>
          <w:iCs/>
        </w:rPr>
        <w:t>five-year</w:t>
      </w:r>
      <w:proofErr w:type="spellEnd"/>
      <w:r w:rsidRPr="00CD5959">
        <w:rPr>
          <w:rFonts w:ascii="Times New Roman" w:eastAsia="Times New Roman" w:hAnsi="Times New Roman" w:cs="Times New Roman"/>
          <w:b/>
          <w:i/>
          <w:iCs/>
        </w:rPr>
        <w:t xml:space="preserve"> database in </w:t>
      </w:r>
      <w:proofErr w:type="spellStart"/>
      <w:r w:rsidRPr="00CD5959">
        <w:rPr>
          <w:rFonts w:ascii="Times New Roman" w:eastAsia="Times New Roman" w:hAnsi="Times New Roman" w:cs="Times New Roman"/>
          <w:b/>
          <w:i/>
          <w:iCs/>
        </w:rPr>
        <w:t>Italy</w:t>
      </w:r>
      <w:proofErr w:type="spellEnd"/>
    </w:p>
    <w:p w14:paraId="6BF33529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4B60B3" w14:textId="77777777" w:rsidR="00CD5959" w:rsidRDefault="00CD5959" w:rsidP="00CD595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Analysis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per Center </w:t>
      </w:r>
    </w:p>
    <w:p w14:paraId="22C9A824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444352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further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corroborate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hypothesis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some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organizational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issue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affecting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Level 3 of the screening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program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data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concerning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IP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compared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alive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 in the FVG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region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over the 2019-2023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period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organized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centers and Level 2 centers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reference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S1).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analysis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allows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detailed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view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situations and,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especially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to rule out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causes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other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organizational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ones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different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managed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each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center. </w:t>
      </w:r>
    </w:p>
    <w:p w14:paraId="2ED77D40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1BECDFA3" w14:textId="77DF3916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Table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S1.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alive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 in the FVG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region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over the 2019-2023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period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managed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centers (BC)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aggregated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Level 2 </w:t>
      </w:r>
      <w:r>
        <w:rPr>
          <w:rFonts w:ascii="Times New Roman" w:eastAsia="Times New Roman" w:hAnsi="Times New Roman" w:cs="Times New Roman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enters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reference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94C2C74" w14:textId="77777777" w:rsidR="00CD5959" w:rsidRDefault="00CD5959" w:rsidP="00CD595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 wp14:anchorId="37E4C718" wp14:editId="6A5A7EA9">
            <wp:extent cx="6119820" cy="2870200"/>
            <wp:effectExtent l="0" t="0" r="0" b="0"/>
            <wp:docPr id="2012573906" name="image11.png" descr="Immagine che contiene testo, numero, schermata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73906" name="image11.png" descr="Immagine che contiene testo, numero, schermata, Carattere&#10;&#10;Il contenuto generato dall'IA potrebbe non essere corret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525FD8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33A50E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percentage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suspected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impairments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varies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across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Considering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overall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suspected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loss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during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Phase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consisting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outcomes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each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reported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 Fig. 3 in the text, i.e., 38 in Center 1, 31 in Center 2, and 37 in Center 3,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effectively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managed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each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center, Center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counts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suspected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issues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3.23‰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patients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while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percentage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equal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to 2.23‰ and 2.82‰ for Centers 2 and 3,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Instead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when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diagnosed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IP after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Phase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3D are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considered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(17 for Center 1 and 24 for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both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 2 and Center 3),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these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percentages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indicate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actual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IP,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1.44‰ (Center 1), 1.73‰ (Center 2), and 1.83‰ (Center 3).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These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results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are in line with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observed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permanent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impairments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Italy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however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worth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noting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difference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between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Center 1 and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other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two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centers,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 3,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which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other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Level 3 center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not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regional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hub. </w:t>
      </w:r>
    </w:p>
    <w:p w14:paraId="194FDDC9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mentioned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 the text,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lower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IP from Center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compared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other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might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be due to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lower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administered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Center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between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2019 and 2023.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given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managed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Center 1 are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much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fewer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those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administered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other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two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centers,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might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biased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rate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patients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accessing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Level 3 coming from Center 1,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IP, and, in turn,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our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hypothesis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some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organizational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issues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impacted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management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referrals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However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potential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effect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effectively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ruled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out 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noting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patients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suspected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impairments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referred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from Center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Phase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similar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from Center 3 (38 vs. 37).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Therefore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difference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 1 impacts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only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suspected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loss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very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beginning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Level 3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Phase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3A).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effect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fact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reduced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over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subsequent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phases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program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where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incidence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IP in Center 1 can be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explained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higher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losses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(15 vs. 1 for Center 2 and 9 for Center 3),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highlighting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more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subtle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management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issue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underlying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the screening procedure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Center 1.</w:t>
      </w:r>
    </w:p>
    <w:p w14:paraId="27FC1760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198FED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B3269B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DCC1ED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089516" w14:textId="77777777" w:rsidR="00CD5959" w:rsidRDefault="00CD5959" w:rsidP="00CD595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JCIH risk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factors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674C4DB9" w14:textId="77777777" w:rsidR="00CD5959" w:rsidRDefault="00CD5959" w:rsidP="00CD595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54E9F26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JCIH risk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factors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codes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reported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 Figure 4 in the text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see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JCIH 2007, 2019). </w:t>
      </w:r>
    </w:p>
    <w:p w14:paraId="643C790D" w14:textId="77777777" w:rsidR="00CD5959" w:rsidRDefault="00CD5959" w:rsidP="00CD5959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EFCD87C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Perinatal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risk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factors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50A1B69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1: Family history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early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progressive, 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delayed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onset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permanent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childhood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loss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2FCA697B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Neonatal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intensive care of more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5 days; </w:t>
      </w:r>
    </w:p>
    <w:p w14:paraId="033D6177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Hyperbilirubinemia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exchange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transfusion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regardless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length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stay;</w:t>
      </w:r>
    </w:p>
    <w:p w14:paraId="64D0B42C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Aminoglycoside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administration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for more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5 days; </w:t>
      </w:r>
    </w:p>
    <w:p w14:paraId="359CE0B1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5: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Asphyxia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hypoxic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ischemic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encephalopathy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5E64B593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6: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Extracorporeal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membrane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oxygenation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5896A8FC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7: In utero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infections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herpes,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rubella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syphilis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toxoplasmosis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cytomegalovirus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26DDAA8F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8: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Certain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birth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findings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(e.g.,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craniofacial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malformations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including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microtia/atresia,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dysplasia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oral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facial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clefting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white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forelock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microphthalmia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congenital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microcephaly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congenital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acquired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hydrocephalus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temporal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bone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abnormalities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</w:p>
    <w:p w14:paraId="20E4EFB7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9: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Syndromes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identified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atypical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thresholds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09CD0910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9E16C87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Perinatal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postnatal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risk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factors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780D35FB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10: Culture-positive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infections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sensorineural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loss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including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confirmed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bacterial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viral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meningitis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encephalitis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2DDCCE34" w14:textId="77777777" w:rsidR="00CD5959" w:rsidRDefault="00CD5959" w:rsidP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11: Events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hearing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loss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e.g.,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head trauma,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chemotherapy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46483359" w14:textId="2CBA061E" w:rsidR="00883DCC" w:rsidRPr="00CD5959" w:rsidRDefault="00CD595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12: Caregiver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concern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regarding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hearing, speech,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language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developmental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delay, and or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developmental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regression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sectPr w:rsidR="00883DCC" w:rsidRPr="00CD5959" w:rsidSect="00CD5959">
      <w:footerReference w:type="default" r:id="rId6"/>
      <w:pgSz w:w="11906" w:h="16838"/>
      <w:pgMar w:top="1417" w:right="1134" w:bottom="1134" w:left="1134" w:header="708" w:footer="708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4B06" w14:textId="77777777" w:rsidR="00CD5959" w:rsidRDefault="00CD595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96E6C"/>
    <w:multiLevelType w:val="multilevel"/>
    <w:tmpl w:val="CAC2F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024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59"/>
    <w:rsid w:val="000C3AD1"/>
    <w:rsid w:val="00227678"/>
    <w:rsid w:val="00883DCC"/>
    <w:rsid w:val="009474CD"/>
    <w:rsid w:val="00C64DA9"/>
    <w:rsid w:val="00CD5959"/>
    <w:rsid w:val="00D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97FA9"/>
  <w15:chartTrackingRefBased/>
  <w15:docId w15:val="{D8FA54D1-383E-5E40-8078-5429606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959"/>
    <w:rPr>
      <w:rFonts w:ascii="Aptos" w:eastAsia="Aptos" w:hAnsi="Aptos" w:cs="Aptos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59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59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59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59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59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59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59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59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59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59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9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59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59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59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59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59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59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5959"/>
    <w:rPr>
      <w:b/>
      <w:bCs/>
      <w:smallCaps/>
      <w:color w:val="0F4761" w:themeColor="accent1" w:themeShade="BF"/>
      <w:spacing w:val="5"/>
    </w:rPr>
  </w:style>
  <w:style w:type="character" w:styleId="Numeroriga">
    <w:name w:val="line number"/>
    <w:basedOn w:val="Carpredefinitoparagrafo"/>
    <w:uiPriority w:val="99"/>
    <w:semiHidden/>
    <w:unhideWhenUsed/>
    <w:rsid w:val="00CD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2025-10-17T08:33:00Z</dcterms:created>
  <dcterms:modified xsi:type="dcterms:W3CDTF">2025-10-17T08:34:00Z</dcterms:modified>
</cp:coreProperties>
</file>