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24C" w:rsidRDefault="006A7909">
      <w:pPr>
        <w:rPr>
          <w:rFonts w:ascii="Times New Roman" w:eastAsia="Times New Roman" w:hAnsi="Times New Roman" w:cs="Times New Roman"/>
          <w:b/>
          <w:bCs/>
          <w:lang w:eastAsia="en-IN" w:bidi="hi-IN"/>
        </w:rPr>
      </w:pPr>
      <w:r>
        <w:rPr>
          <w:rFonts w:ascii="Times New Roman" w:eastAsia="Times New Roman" w:hAnsi="Times New Roman" w:cs="Times New Roman"/>
          <w:b/>
          <w:bCs/>
          <w:lang w:eastAsia="en-IN" w:bidi="hi-IN"/>
        </w:rPr>
        <w:t>S</w:t>
      </w:r>
      <w:r w:rsidR="004519F9" w:rsidRPr="004519F9">
        <w:rPr>
          <w:rFonts w:ascii="Times New Roman" w:eastAsia="Times New Roman" w:hAnsi="Times New Roman" w:cs="Times New Roman"/>
          <w:b/>
          <w:bCs/>
          <w:lang w:eastAsia="en-IN" w:bidi="hi-IN"/>
        </w:rPr>
        <w:t xml:space="preserve">upplementary </w:t>
      </w:r>
      <w:r w:rsidR="00A81892">
        <w:rPr>
          <w:rFonts w:ascii="Times New Roman" w:eastAsia="Times New Roman" w:hAnsi="Times New Roman" w:cs="Times New Roman"/>
          <w:b/>
          <w:bCs/>
          <w:lang w:eastAsia="en-IN" w:bidi="hi-IN"/>
        </w:rPr>
        <w:t>File</w:t>
      </w:r>
    </w:p>
    <w:p w:rsidR="004519F9" w:rsidRPr="00DD1B5A" w:rsidRDefault="004519F9" w:rsidP="004519F9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Cs/>
          <w:noProof/>
          <w:sz w:val="24"/>
          <w:szCs w:val="24"/>
          <w:lang w:eastAsia="en-IN"/>
        </w:rPr>
        <w:drawing>
          <wp:inline distT="0" distB="0" distL="0" distR="0" wp14:anchorId="5F8EA22F" wp14:editId="7DF0D430">
            <wp:extent cx="4094328" cy="2101755"/>
            <wp:effectExtent l="0" t="0" r="1905" b="1333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4519F9" w:rsidRPr="00DD1B5A" w:rsidRDefault="004519F9" w:rsidP="004519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DPPH free radical scavenging activities of chitosan at different concentrations</w:t>
      </w:r>
      <w:bookmarkStart w:id="0" w:name="_GoBack"/>
      <w:bookmarkEnd w:id="0"/>
    </w:p>
    <w:p w:rsidR="004519F9" w:rsidRDefault="004519F9" w:rsidP="004519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2336" behindDoc="1" locked="0" layoutInCell="1" allowOverlap="1" wp14:anchorId="1B0943F4" wp14:editId="4D80ADB3">
            <wp:simplePos x="0" y="0"/>
            <wp:positionH relativeFrom="column">
              <wp:posOffset>381635</wp:posOffset>
            </wp:positionH>
            <wp:positionV relativeFrom="paragraph">
              <wp:posOffset>176530</wp:posOffset>
            </wp:positionV>
            <wp:extent cx="4237355" cy="2286000"/>
            <wp:effectExtent l="0" t="0" r="10795" b="0"/>
            <wp:wrapTight wrapText="bothSides">
              <wp:wrapPolygon edited="0">
                <wp:start x="0" y="0"/>
                <wp:lineTo x="0" y="21420"/>
                <wp:lineTo x="21558" y="21420"/>
                <wp:lineTo x="21558" y="0"/>
                <wp:lineTo x="0" y="0"/>
              </wp:wrapPolygon>
            </wp:wrapTight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19F9" w:rsidRDefault="004519F9" w:rsidP="004519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6A790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6A7909" w:rsidP="004519F9">
      <w:pPr>
        <w:spacing w:line="240" w:lineRule="auto"/>
        <w:ind w:left="900" w:hanging="900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1" locked="0" layoutInCell="1" allowOverlap="1" wp14:anchorId="5C947F7F" wp14:editId="47EC1250">
            <wp:simplePos x="0" y="0"/>
            <wp:positionH relativeFrom="page">
              <wp:posOffset>1152440</wp:posOffset>
            </wp:positionH>
            <wp:positionV relativeFrom="page">
              <wp:posOffset>6686873</wp:posOffset>
            </wp:positionV>
            <wp:extent cx="4499610" cy="2381534"/>
            <wp:effectExtent l="0" t="0" r="15240" b="0"/>
            <wp:wrapTight wrapText="bothSides">
              <wp:wrapPolygon edited="0">
                <wp:start x="0" y="0"/>
                <wp:lineTo x="0" y="21427"/>
                <wp:lineTo x="21582" y="21427"/>
                <wp:lineTo x="21582" y="0"/>
                <wp:lineTo x="0" y="0"/>
              </wp:wrapPolygon>
            </wp:wrapTight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19F9"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DPPH free radical scavenging activities of </w:t>
      </w:r>
      <w:r w:rsidR="004519F9" w:rsidRPr="00DD1B5A">
        <w:rPr>
          <w:rFonts w:ascii="Times New Roman" w:eastAsia="Times New Roman" w:hAnsi="Times New Roman" w:cs="Times New Roman"/>
          <w:b/>
          <w:sz w:val="24"/>
          <w:szCs w:val="24"/>
          <w:lang w:eastAsia="en-IN" w:bidi="hi-IN"/>
        </w:rPr>
        <w:t>α-amylase-COS</w:t>
      </w:r>
      <w:r w:rsidR="004519F9"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 at different concentrations </w:t>
      </w:r>
    </w:p>
    <w:p w:rsidR="004519F9" w:rsidRPr="00DD1B5A" w:rsidRDefault="004519F9" w:rsidP="004519F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Default="004519F9" w:rsidP="006A790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after="0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DPPH free radical scavenging activities of </w:t>
      </w:r>
      <w:r w:rsidRPr="00DD1B5A">
        <w:rPr>
          <w:rFonts w:ascii="Times New Roman" w:eastAsia="Times New Roman" w:hAnsi="Times New Roman" w:cs="Times New Roman"/>
          <w:b/>
          <w:sz w:val="24"/>
          <w:szCs w:val="24"/>
          <w:lang w:eastAsia="en-IN" w:bidi="hi-IN"/>
        </w:rPr>
        <w:t>β-amylase-</w:t>
      </w: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COS at different concentrations</w:t>
      </w:r>
    </w:p>
    <w:p w:rsidR="004519F9" w:rsidRDefault="004519F9" w:rsidP="004519F9">
      <w:pPr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Cs/>
          <w:noProof/>
          <w:sz w:val="24"/>
          <w:szCs w:val="24"/>
          <w:lang w:eastAsia="en-IN"/>
        </w:rPr>
        <w:lastRenderedPageBreak/>
        <w:drawing>
          <wp:anchor distT="0" distB="0" distL="114300" distR="114300" simplePos="0" relativeHeight="251661312" behindDoc="0" locked="0" layoutInCell="1" allowOverlap="1" wp14:anchorId="46876579" wp14:editId="534CA7B3">
            <wp:simplePos x="0" y="0"/>
            <wp:positionH relativeFrom="column">
              <wp:posOffset>593090</wp:posOffset>
            </wp:positionH>
            <wp:positionV relativeFrom="paragraph">
              <wp:posOffset>211455</wp:posOffset>
            </wp:positionV>
            <wp:extent cx="3862070" cy="2244725"/>
            <wp:effectExtent l="0" t="0" r="5080" b="3175"/>
            <wp:wrapTopAndBottom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19F9" w:rsidRPr="00DD1B5A" w:rsidRDefault="004519F9" w:rsidP="004519F9">
      <w:pPr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</w:p>
    <w:p w:rsidR="004519F9" w:rsidRPr="00DD1B5A" w:rsidRDefault="004519F9" w:rsidP="004519F9">
      <w:pPr>
        <w:spacing w:after="0"/>
        <w:ind w:left="1170" w:hanging="11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DPPH free radical scavenging activities of </w:t>
      </w:r>
      <w:r w:rsidRPr="00DD1B5A">
        <w:rPr>
          <w:rFonts w:ascii="Times New Roman" w:eastAsia="Times New Roman" w:hAnsi="Times New Roman" w:cs="Times New Roman"/>
          <w:b/>
          <w:sz w:val="24"/>
          <w:szCs w:val="24"/>
          <w:lang w:eastAsia="en-IN" w:bidi="hi-IN"/>
        </w:rPr>
        <w:t>papain-</w:t>
      </w: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COS at different concentrations</w:t>
      </w:r>
    </w:p>
    <w:p w:rsidR="004519F9" w:rsidRPr="006A7909" w:rsidRDefault="006A7909" w:rsidP="004519F9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0288" behindDoc="1" locked="0" layoutInCell="1" allowOverlap="1" wp14:anchorId="3ECA6893" wp14:editId="761AB47A">
            <wp:simplePos x="0" y="0"/>
            <wp:positionH relativeFrom="page">
              <wp:posOffset>1425575</wp:posOffset>
            </wp:positionH>
            <wp:positionV relativeFrom="paragraph">
              <wp:posOffset>294640</wp:posOffset>
            </wp:positionV>
            <wp:extent cx="3984625" cy="2033270"/>
            <wp:effectExtent l="0" t="0" r="15875" b="5080"/>
            <wp:wrapTopAndBottom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19F9" w:rsidRPr="00DD1B5A" w:rsidRDefault="004519F9" w:rsidP="004519F9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IN" w:bidi="hi-IN"/>
        </w:rPr>
      </w:pPr>
    </w:p>
    <w:p w:rsidR="004519F9" w:rsidRPr="00500F29" w:rsidRDefault="004519F9" w:rsidP="00500F29">
      <w:pPr>
        <w:spacing w:after="0"/>
        <w:ind w:left="1170" w:hanging="11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</w:pP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DPPH free radical scavenging activities of </w:t>
      </w:r>
      <w:r w:rsidRPr="00DD1B5A">
        <w:rPr>
          <w:rFonts w:ascii="Times New Roman" w:eastAsia="Times New Roman" w:hAnsi="Times New Roman" w:cs="Times New Roman"/>
          <w:b/>
          <w:sz w:val="24"/>
          <w:szCs w:val="24"/>
          <w:lang w:eastAsia="en-IN" w:bidi="hi-IN"/>
        </w:rPr>
        <w:t>pepsin-</w:t>
      </w:r>
      <w:r w:rsidRPr="00DD1B5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COS at different concentrations</w:t>
      </w:r>
    </w:p>
    <w:sectPr w:rsidR="004519F9" w:rsidRPr="00500F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9F9"/>
    <w:rsid w:val="001D67EF"/>
    <w:rsid w:val="004519F9"/>
    <w:rsid w:val="00500F29"/>
    <w:rsid w:val="006A7909"/>
    <w:rsid w:val="0074224C"/>
    <w:rsid w:val="008E7794"/>
    <w:rsid w:val="009C7375"/>
    <w:rsid w:val="00A8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06854"/>
  <w15:chartTrackingRefBased/>
  <w15:docId w15:val="{3D5E7B15-FEF5-4E83-8A6A-1DDE3A47A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D:\RENU%20PHD%20RESEARCH\THESIS%20DRAFT\data\New_%204.1.2020_antioxidant%20properties%20of%20COS%20prepared%20from%20different%20enzymes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D:\RENU%20PHD%20RESEARCH\THESIS%20DRAFT\data\New_%204.1.2020_antioxidant%20properties%20of%20COS%20prepared%20from%20different%20enzymes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D:\RENU%20PHD%20RESEARCH\THESIS%20DRAFT\data\New_%204.1.2020_antioxidant%20properties%20of%20COS%20prepared%20from%20different%20enzymes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D:\RENU%20PHD%20RESEARCH\THESIS%20DRAFT\data\New_%204.1.2020_antioxidant%20properties%20of%20COS%20prepared%20from%20different%20enzymes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D:\RENU%20PHD%20RESEARCH\THESIS%20DRAFT\data\New_%204.1.2020_antioxidant%20properties%20of%20COS%20prepared%20from%20different%20enzymes.xlsx" TargetMode="External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en-IN" sz="1200"/>
            </a:pPr>
            <a:r>
              <a:rPr lang="en-US" sz="1200"/>
              <a:t>Chitosan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6218187752437699"/>
                  <c:y val="-0.1756756756756749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100"/>
                  </a:pPr>
                  <a:endParaRPr lang="en-US"/>
                </a:p>
              </c:txPr>
            </c:trendlineLbl>
          </c:trendline>
          <c:xVal>
            <c:numRef>
              <c:f>DPPH!$P$102:$P$109</c:f>
              <c:numCache>
                <c:formatCode>0.00</c:formatCode>
                <c:ptCount val="8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7.5</c:v>
                </c:pt>
                <c:pt idx="6">
                  <c:v>10</c:v>
                </c:pt>
                <c:pt idx="7">
                  <c:v>12.5</c:v>
                </c:pt>
              </c:numCache>
            </c:numRef>
          </c:xVal>
          <c:yVal>
            <c:numRef>
              <c:f>DPPH!$Q$102:$Q$109</c:f>
              <c:numCache>
                <c:formatCode>0.00</c:formatCode>
                <c:ptCount val="8"/>
                <c:pt idx="0">
                  <c:v>6.5072463768116</c:v>
                </c:pt>
                <c:pt idx="1">
                  <c:v>13.130434782608701</c:v>
                </c:pt>
                <c:pt idx="2">
                  <c:v>17.818840579710191</c:v>
                </c:pt>
                <c:pt idx="3">
                  <c:v>22.69565217391299</c:v>
                </c:pt>
                <c:pt idx="4">
                  <c:v>27.847826086956498</c:v>
                </c:pt>
                <c:pt idx="5">
                  <c:v>39.423500000000011</c:v>
                </c:pt>
                <c:pt idx="6">
                  <c:v>51</c:v>
                </c:pt>
                <c:pt idx="7">
                  <c:v>60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B9E-4419-AFA1-67D0DEF994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6733376"/>
        <c:axId val="376738472"/>
      </c:scatterChart>
      <c:valAx>
        <c:axId val="3767333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lang="en-IN" sz="1100" b="1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sz="1100" b="1" i="0" baseline="0"/>
                  <a:t>Concentration (mg/ml)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6738472"/>
        <c:crosses val="autoZero"/>
        <c:crossBetween val="midCat"/>
      </c:valAx>
      <c:valAx>
        <c:axId val="37673847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en-IN" sz="1100"/>
                </a:pPr>
                <a:r>
                  <a:rPr lang="en-US" sz="1100" b="1" i="0" u="none" strike="noStrike" baseline="0"/>
                  <a:t>DPPH activity (%)</a:t>
                </a:r>
                <a:endParaRPr lang="en-US" sz="1100"/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6733376"/>
        <c:crosses val="autoZero"/>
        <c:crossBetween val="midCat"/>
      </c:valAx>
    </c:plotArea>
    <c:plotVisOnly val="1"/>
    <c:dispBlanksAs val="gap"/>
    <c:showDLblsOverMax val="0"/>
  </c:chart>
  <c:spPr>
    <a:ln>
      <a:solidFill>
        <a:schemeClr val="tx1"/>
      </a:solidFill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en-IN" sz="1100"/>
            </a:pPr>
            <a:r>
              <a:rPr lang="el-GR" sz="1100"/>
              <a:t>α</a:t>
            </a:r>
            <a:r>
              <a:rPr lang="en-US" sz="1100"/>
              <a:t>-amylase-COS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77725407355872"/>
          <c:y val="0.12591942895206401"/>
          <c:w val="0.70929880716761795"/>
          <c:h val="0.63352923826405605"/>
        </c:manualLayout>
      </c:layout>
      <c:scatterChart>
        <c:scatterStyle val="lineMarker"/>
        <c:varyColors val="0"/>
        <c:ser>
          <c:idx val="0"/>
          <c:order val="0"/>
          <c:tx>
            <c:strRef>
              <c:f>DPPH!$O$10</c:f>
              <c:strCache>
                <c:ptCount val="1"/>
                <c:pt idx="0">
                  <c:v>DPPH activity (%)</c:v>
                </c:pt>
              </c:strCache>
            </c:strRef>
          </c:tx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5939763779527799"/>
                  <c:y val="-0.1809146252551759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100"/>
                  </a:pPr>
                  <a:endParaRPr lang="en-US"/>
                </a:p>
              </c:txPr>
            </c:trendlineLbl>
          </c:trendline>
          <c:xVal>
            <c:numRef>
              <c:f>DPPH!$N$11:$N$17</c:f>
              <c:numCache>
                <c:formatCode>0.00</c:formatCode>
                <c:ptCount val="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7.5</c:v>
                </c:pt>
              </c:numCache>
            </c:numRef>
          </c:xVal>
          <c:yVal>
            <c:numRef>
              <c:f>DPPH!$O$11:$O$17</c:f>
              <c:numCache>
                <c:formatCode>0.00</c:formatCode>
                <c:ptCount val="7"/>
                <c:pt idx="0">
                  <c:v>10.507246376811599</c:v>
                </c:pt>
                <c:pt idx="1">
                  <c:v>14.13043478260871</c:v>
                </c:pt>
                <c:pt idx="2">
                  <c:v>24.818840579710159</c:v>
                </c:pt>
                <c:pt idx="3">
                  <c:v>33.695652173913061</c:v>
                </c:pt>
                <c:pt idx="4">
                  <c:v>41.847826086955997</c:v>
                </c:pt>
                <c:pt idx="5">
                  <c:v>65.423500000000004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E0C-498F-9CFB-382338E999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6734552"/>
        <c:axId val="406017688"/>
      </c:scatterChart>
      <c:valAx>
        <c:axId val="3767345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en-IN" sz="1100"/>
                </a:pPr>
                <a:r>
                  <a:rPr lang="en-US" sz="1100"/>
                  <a:t>Concentration (mg/ml)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406017688"/>
        <c:crosses val="autoZero"/>
        <c:crossBetween val="midCat"/>
      </c:valAx>
      <c:valAx>
        <c:axId val="4060176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en-IN" sz="1100"/>
                </a:pPr>
                <a:r>
                  <a:rPr lang="en-US" sz="1100"/>
                  <a:t>DPPH activity (%)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6734552"/>
        <c:crosses val="autoZero"/>
        <c:crossBetween val="midCat"/>
      </c:valAx>
    </c:plotArea>
    <c:plotVisOnly val="1"/>
    <c:dispBlanksAs val="gap"/>
    <c:showDLblsOverMax val="0"/>
  </c:chart>
  <c:spPr>
    <a:ln>
      <a:solidFill>
        <a:schemeClr val="tx1"/>
      </a:solidFill>
    </a:ln>
  </c:spPr>
  <c:txPr>
    <a:bodyPr/>
    <a:lstStyle/>
    <a:p>
      <a:pPr>
        <a:defRPr>
          <a:solidFill>
            <a:sysClr val="windowText" lastClr="000000"/>
          </a:solidFill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en-IN" sz="1100"/>
            </a:pPr>
            <a:r>
              <a:rPr lang="el-GR" sz="1100"/>
              <a:t>β</a:t>
            </a:r>
            <a:r>
              <a:rPr lang="en-US" sz="1100"/>
              <a:t>-amylase-COS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02868903613018"/>
                  <c:y val="-0.2029411764705879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100"/>
                  </a:pPr>
                  <a:endParaRPr lang="en-US"/>
                </a:p>
              </c:txPr>
            </c:trendlineLbl>
          </c:trendline>
          <c:xVal>
            <c:numRef>
              <c:f>DPPH!$N$22:$N$27</c:f>
              <c:numCache>
                <c:formatCode>0.00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7.5</c:v>
                </c:pt>
              </c:numCache>
            </c:numRef>
          </c:xVal>
          <c:yVal>
            <c:numRef>
              <c:f>DPPH!$O$22:$O$27</c:f>
              <c:numCache>
                <c:formatCode>0.00</c:formatCode>
                <c:ptCount val="6"/>
                <c:pt idx="0">
                  <c:v>15.398550724637669</c:v>
                </c:pt>
                <c:pt idx="1">
                  <c:v>31.130434782608731</c:v>
                </c:pt>
                <c:pt idx="2">
                  <c:v>44.202898550724647</c:v>
                </c:pt>
                <c:pt idx="3">
                  <c:v>53.985507246376862</c:v>
                </c:pt>
                <c:pt idx="4">
                  <c:v>62.318840579709793</c:v>
                </c:pt>
                <c:pt idx="5">
                  <c:v>86.321399999999983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E4E-4140-B705-E37EBC9882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6013376"/>
        <c:axId val="406014160"/>
      </c:scatterChart>
      <c:valAx>
        <c:axId val="4060133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en-IN" sz="1100"/>
                </a:pPr>
                <a:r>
                  <a:rPr lang="en-US" sz="1100" b="1" i="0" u="none" strike="noStrike" baseline="0"/>
                  <a:t>Concentration (mg/ml)</a:t>
                </a:r>
                <a:endParaRPr lang="en-US" sz="1100"/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406014160"/>
        <c:crosses val="autoZero"/>
        <c:crossBetween val="midCat"/>
      </c:valAx>
      <c:valAx>
        <c:axId val="4060141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en-IN" sz="1100"/>
                </a:pPr>
                <a:r>
                  <a:rPr lang="en-US" sz="1100" b="1" i="0" baseline="0"/>
                  <a:t>DPPH activity (%)</a:t>
                </a:r>
                <a:endParaRPr lang="en-US" sz="1100"/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406013376"/>
        <c:crosses val="autoZero"/>
        <c:crossBetween val="midCat"/>
      </c:valAx>
    </c:plotArea>
    <c:plotVisOnly val="1"/>
    <c:dispBlanksAs val="gap"/>
    <c:showDLblsOverMax val="0"/>
  </c:chart>
  <c:spPr>
    <a:ln>
      <a:solidFill>
        <a:schemeClr val="tx1"/>
      </a:solidFill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en-IN" sz="1100">
                <a:latin typeface="Times New Roman" pitchFamily="18" charset="0"/>
                <a:cs typeface="Times New Roman" pitchFamily="18" charset="0"/>
              </a:defRPr>
            </a:pPr>
            <a:r>
              <a:rPr lang="en-US" sz="1100">
                <a:latin typeface="Times New Roman" pitchFamily="18" charset="0"/>
                <a:cs typeface="Times New Roman" pitchFamily="18" charset="0"/>
              </a:rPr>
              <a:t>Papain-COS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66911226397705"/>
                  <c:y val="-0.20504729361660101"/>
                </c:manualLayout>
              </c:layout>
              <c:tx>
                <c:rich>
                  <a:bodyPr/>
                  <a:lstStyle/>
                  <a:p>
                    <a:pPr>
                      <a:defRPr lang="en-IN" sz="1100"/>
                    </a:pPr>
                    <a:r>
                      <a:rPr lang="en-US" sz="1100" baseline="0">
                        <a:latin typeface="Times New Roman" pitchFamily="18" charset="0"/>
                        <a:cs typeface="Times New Roman" pitchFamily="18" charset="0"/>
                      </a:rPr>
                      <a:t>y = 13.48x + 4.933
R² = 0.989</a:t>
                    </a:r>
                    <a:endParaRPr lang="en-US" sz="1100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numFmt formatCode="General" sourceLinked="0"/>
            </c:trendlineLbl>
          </c:trendline>
          <c:xVal>
            <c:numRef>
              <c:f>DPPH!$N$40:$N$44</c:f>
              <c:numCache>
                <c:formatCode>0.00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xVal>
          <c:yVal>
            <c:numRef>
              <c:f>DPPH!$O$40:$O$44</c:f>
              <c:numCache>
                <c:formatCode>0.00</c:formatCode>
                <c:ptCount val="5"/>
                <c:pt idx="0">
                  <c:v>15.748898678414021</c:v>
                </c:pt>
                <c:pt idx="1">
                  <c:v>34.030837004405299</c:v>
                </c:pt>
                <c:pt idx="2">
                  <c:v>47.356828193831987</c:v>
                </c:pt>
                <c:pt idx="3">
                  <c:v>59.140969162995603</c:v>
                </c:pt>
                <c:pt idx="4">
                  <c:v>70.594713656387697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EFB2-4D9D-9C9A-8C5C615358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8272304"/>
        <c:axId val="378275440"/>
      </c:scatterChart>
      <c:valAx>
        <c:axId val="3782723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en-IN" sz="11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100" b="1" i="0" u="none" strike="noStrike" baseline="0">
                    <a:latin typeface="Times New Roman" pitchFamily="18" charset="0"/>
                    <a:cs typeface="Times New Roman" pitchFamily="18" charset="0"/>
                  </a:rPr>
                  <a:t>Concentration (mg/ml)</a:t>
                </a:r>
                <a:endParaRPr lang="en-US" sz="1100">
                  <a:latin typeface="Times New Roman" pitchFamily="18" charset="0"/>
                  <a:cs typeface="Times New Roman" pitchFamily="18" charset="0"/>
                </a:endParaRP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8275440"/>
        <c:crosses val="autoZero"/>
        <c:crossBetween val="midCat"/>
      </c:valAx>
      <c:valAx>
        <c:axId val="37827544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en-IN" sz="11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100" b="1" i="0" baseline="0">
                    <a:latin typeface="Times New Roman" pitchFamily="18" charset="0"/>
                    <a:cs typeface="Times New Roman" pitchFamily="18" charset="0"/>
                  </a:rPr>
                  <a:t>DPPH activity (%)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8272304"/>
        <c:crosses val="autoZero"/>
        <c:crossBetween val="midCat"/>
      </c:valAx>
    </c:plotArea>
    <c:plotVisOnly val="1"/>
    <c:dispBlanksAs val="gap"/>
    <c:showDLblsOverMax val="0"/>
  </c:chart>
  <c:spPr>
    <a:ln>
      <a:solidFill>
        <a:sysClr val="windowText" lastClr="000000"/>
      </a:solidFill>
    </a:ln>
  </c:sp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en-IN" sz="1100"/>
            </a:pPr>
            <a:r>
              <a:rPr lang="en-US" sz="1100"/>
              <a:t>Pepsin-COS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0"/>
            <c:dispEq val="0"/>
          </c:trendline>
          <c:trendline>
            <c:trendlineType val="linear"/>
            <c:dispRSqr val="1"/>
            <c:dispEq val="1"/>
            <c:trendlineLbl>
              <c:layout>
                <c:manualLayout>
                  <c:x val="0.184944583348883"/>
                  <c:y val="-0.18334991020859201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100"/>
                  </a:pPr>
                  <a:endParaRPr lang="en-US"/>
                </a:p>
              </c:txPr>
            </c:trendlineLbl>
          </c:trendline>
          <c:xVal>
            <c:numRef>
              <c:f>DPPH!$N$57:$N$61</c:f>
              <c:numCache>
                <c:formatCode>0.00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xVal>
          <c:yVal>
            <c:numRef>
              <c:f>DPPH!$O$57:$O$61</c:f>
              <c:numCache>
                <c:formatCode>0.00</c:formatCode>
                <c:ptCount val="5"/>
                <c:pt idx="0">
                  <c:v>21.195652173913029</c:v>
                </c:pt>
                <c:pt idx="1">
                  <c:v>38.253623188405811</c:v>
                </c:pt>
                <c:pt idx="2">
                  <c:v>51.688405797101503</c:v>
                </c:pt>
                <c:pt idx="3">
                  <c:v>66.311594202898604</c:v>
                </c:pt>
                <c:pt idx="4">
                  <c:v>74.492753623188406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6BA-47CD-B5EF-1F4EFAC25F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78274264"/>
        <c:axId val="378271912"/>
      </c:scatterChart>
      <c:valAx>
        <c:axId val="3782742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en-IN" sz="1100"/>
                </a:pPr>
                <a:r>
                  <a:rPr lang="en-US" sz="1100" b="1" i="0" u="none" strike="noStrike" baseline="0"/>
                  <a:t>Concentration (mg/ml)</a:t>
                </a:r>
                <a:endParaRPr lang="en-US" sz="1100"/>
              </a:p>
            </c:rich>
          </c:tx>
          <c:overlay val="0"/>
        </c:title>
        <c:numFmt formatCode="0" sourceLinked="0"/>
        <c:majorTickMark val="in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8271912"/>
        <c:crosses val="autoZero"/>
        <c:crossBetween val="midCat"/>
      </c:valAx>
      <c:valAx>
        <c:axId val="378271912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lang="en-IN" sz="1100"/>
                </a:pPr>
                <a:r>
                  <a:rPr lang="en-US" sz="1100" b="1" i="0" baseline="0"/>
                  <a:t>DPPH activity (%)</a:t>
                </a:r>
                <a:endParaRPr lang="en-US" sz="1100"/>
              </a:p>
            </c:rich>
          </c:tx>
          <c:overlay val="0"/>
        </c:title>
        <c:numFmt formatCode="0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</c:spPr>
        <c:txPr>
          <a:bodyPr/>
          <a:lstStyle/>
          <a:p>
            <a:pPr>
              <a:defRPr lang="en-IN"/>
            </a:pPr>
            <a:endParaRPr lang="en-US"/>
          </a:p>
        </c:txPr>
        <c:crossAx val="378274264"/>
        <c:crosses val="autoZero"/>
        <c:crossBetween val="midCat"/>
      </c:valAx>
    </c:plotArea>
    <c:plotVisOnly val="1"/>
    <c:dispBlanksAs val="gap"/>
    <c:showDLblsOverMax val="0"/>
  </c:chart>
  <c:spPr>
    <a:ln>
      <a:solidFill>
        <a:schemeClr val="tx1"/>
      </a:solidFill>
    </a:ln>
  </c:spPr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Renuka CIFT</dc:creator>
  <cp:keywords/>
  <dc:description/>
  <cp:lastModifiedBy>Renuka CIFT</cp:lastModifiedBy>
  <cp:revision>7</cp:revision>
  <dcterms:created xsi:type="dcterms:W3CDTF">2021-07-23T10:54:00Z</dcterms:created>
  <dcterms:modified xsi:type="dcterms:W3CDTF">2021-07-23T11:05:00Z</dcterms:modified>
</cp:coreProperties>
</file>