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BBCE9" w14:textId="77777777" w:rsidR="000D5A7A" w:rsidRPr="002D7B42" w:rsidRDefault="000D5A7A" w:rsidP="000D5A7A">
      <w:pPr>
        <w:spacing w:after="0" w:line="240" w:lineRule="auto"/>
        <w:jc w:val="both"/>
        <w:rPr>
          <w:rFonts w:ascii="Times New Roman" w:hAnsi="Times New Roman" w:cs="Times New Roman"/>
          <w:b/>
          <w:bCs/>
          <w:sz w:val="24"/>
          <w:szCs w:val="24"/>
        </w:rPr>
      </w:pPr>
      <w:r w:rsidRPr="002D7B42">
        <w:rPr>
          <w:rFonts w:ascii="Times New Roman" w:hAnsi="Times New Roman" w:cs="Times New Roman"/>
          <w:b/>
          <w:bCs/>
          <w:sz w:val="24"/>
          <w:szCs w:val="24"/>
        </w:rPr>
        <w:t>Annex 1. Recruitment Strategy for the Original Study in Latvia</w:t>
      </w:r>
    </w:p>
    <w:p w14:paraId="44EB2ED4" w14:textId="77777777" w:rsidR="000D5A7A" w:rsidRPr="002D7B42" w:rsidRDefault="000D5A7A" w:rsidP="000D5A7A">
      <w:pPr>
        <w:spacing w:after="0" w:line="240" w:lineRule="auto"/>
        <w:jc w:val="both"/>
        <w:rPr>
          <w:rFonts w:ascii="Times New Roman" w:hAnsi="Times New Roman" w:cs="Times New Roman"/>
          <w:sz w:val="24"/>
          <w:szCs w:val="24"/>
        </w:rPr>
      </w:pPr>
      <w:r w:rsidRPr="002D7B42">
        <w:rPr>
          <w:rFonts w:ascii="Times New Roman" w:eastAsia="Calibri" w:hAnsi="Times New Roman" w:cs="Times New Roman"/>
          <w:sz w:val="24"/>
          <w:szCs w:val="24"/>
        </w:rPr>
        <w:t xml:space="preserve">For this article the Latvian dataset from the HBM4EU‑SPECIMEn (Survey on PEstiCIde Mixtures in Europe) study was used. The main aim of the original study was to generate new exposure data across Europe on a broad combination of pesticides and to assess possible local contributions (i.e., hotspot areas) and within-person variation in pesticide exposure. The study employed a “hotspot” design, comparing individuals living close to pesticide application sites with those in control areas, and evaluated differences across seasons (spraying vs. non‑spraying periods), countries, and age groups. </w:t>
      </w:r>
    </w:p>
    <w:p w14:paraId="0D706258" w14:textId="77777777" w:rsidR="000D5A7A" w:rsidRPr="002D7B42" w:rsidRDefault="000D5A7A" w:rsidP="000D5A7A">
      <w:pPr>
        <w:spacing w:after="0" w:line="240" w:lineRule="auto"/>
        <w:jc w:val="both"/>
        <w:rPr>
          <w:rFonts w:ascii="Times New Roman" w:hAnsi="Times New Roman" w:cs="Times New Roman"/>
          <w:sz w:val="24"/>
          <w:szCs w:val="24"/>
        </w:rPr>
      </w:pPr>
      <w:r w:rsidRPr="002D7B42">
        <w:rPr>
          <w:rFonts w:ascii="Times New Roman" w:hAnsi="Times New Roman" w:cs="Times New Roman"/>
          <w:sz w:val="24"/>
          <w:szCs w:val="24"/>
        </w:rPr>
        <w:t xml:space="preserve">To ensure objective site selection in Latvia, data on the agricultural land usage of year 2017 was utilized </w:t>
      </w:r>
      <w:sdt>
        <w:sdtPr>
          <w:rPr>
            <w:rFonts w:ascii="Times New Roman" w:hAnsi="Times New Roman" w:cs="Times New Roman"/>
            <w:color w:val="000000"/>
            <w:sz w:val="24"/>
            <w:szCs w:val="24"/>
          </w:rPr>
          <w:tag w:val="MENDELEY_CITATION_v3_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"/>
          <w:id w:val="-1508515843"/>
          <w:placeholder>
            <w:docPart w:val="D855D2BEC01F440CA0B48335016DEADC"/>
          </w:placeholder>
        </w:sdtPr>
        <w:sdtContent>
          <w:r w:rsidRPr="00495777">
            <w:rPr>
              <w:rFonts w:ascii="Times New Roman" w:hAnsi="Times New Roman" w:cs="Times New Roman"/>
              <w:color w:val="000000"/>
              <w:sz w:val="24"/>
              <w:szCs w:val="24"/>
            </w:rPr>
            <w:t>[38]</w:t>
          </w:r>
        </w:sdtContent>
      </w:sdt>
      <w:r w:rsidRPr="002D7B42">
        <w:rPr>
          <w:rFonts w:ascii="Times New Roman" w:hAnsi="Times New Roman" w:cs="Times New Roman"/>
          <w:sz w:val="24"/>
          <w:szCs w:val="24"/>
        </w:rPr>
        <w:t>, which records farmer-submitted data on land use, including crop types and total cultivated area. Analysis of this register informed that the largest proportion of agricultural land in Latvia is concentrated in Kurzeme and Zemgale regions, which are also areas that are historically the most intensively farmed regions in Latvia. Due to the low population density in rural areas and challenges in participant recruitment in Kurzeme and Zemgale, participants from other rural areas were also included in this study.</w:t>
      </w:r>
    </w:p>
    <w:p w14:paraId="2B798FF4" w14:textId="77777777" w:rsidR="000D5A7A" w:rsidRPr="002D7B42" w:rsidRDefault="000D5A7A" w:rsidP="000D5A7A">
      <w:pPr>
        <w:spacing w:after="0" w:line="240" w:lineRule="auto"/>
        <w:jc w:val="both"/>
        <w:rPr>
          <w:rFonts w:ascii="Times New Roman" w:hAnsi="Times New Roman" w:cs="Times New Roman"/>
          <w:sz w:val="24"/>
          <w:szCs w:val="24"/>
        </w:rPr>
      </w:pPr>
      <w:r w:rsidRPr="002D7B42">
        <w:rPr>
          <w:rFonts w:ascii="Times New Roman" w:hAnsi="Times New Roman" w:cs="Times New Roman"/>
          <w:sz w:val="24"/>
          <w:szCs w:val="24"/>
        </w:rPr>
        <w:t xml:space="preserve">Before the enrollment, all potential study participants were asked to self-report their estimated distance from the nearest pesticide application sites. To validate this information, an objective geospatial assessment was conducted using publicly available land use databases. First, participants' addresses were verified through kadastrs.lv, a cadastral database used to retrieve property identification numbers. These numbers were then cross-referenced in the Latvian Rural Support Service’s agricultural land mapping system </w:t>
      </w:r>
      <w:sdt>
        <w:sdtPr>
          <w:rPr>
            <w:rFonts w:ascii="Times New Roman" w:hAnsi="Times New Roman" w:cs="Times New Roman"/>
            <w:color w:val="000000"/>
            <w:sz w:val="24"/>
            <w:szCs w:val="24"/>
          </w:rPr>
          <w:tag w:val="MENDELEY_CITATION_v3_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"/>
          <w:id w:val="2007707456"/>
          <w:placeholder>
            <w:docPart w:val="D855D2BEC01F440CA0B48335016DEADC"/>
          </w:placeholder>
        </w:sdtPr>
        <w:sdtContent>
          <w:r w:rsidRPr="00495777">
            <w:rPr>
              <w:rFonts w:ascii="Times New Roman" w:hAnsi="Times New Roman" w:cs="Times New Roman"/>
              <w:color w:val="000000"/>
              <w:sz w:val="24"/>
              <w:szCs w:val="24"/>
            </w:rPr>
            <w:t>[39]</w:t>
          </w:r>
        </w:sdtContent>
      </w:sdt>
      <w:r w:rsidRPr="002D7B42">
        <w:rPr>
          <w:rFonts w:ascii="Times New Roman" w:hAnsi="Times New Roman" w:cs="Times New Roman"/>
          <w:sz w:val="24"/>
          <w:szCs w:val="24"/>
        </w:rPr>
        <w:t xml:space="preserve">, which provides precise data on land use, crop types, and pesticide application zones. Using this system’s measurement tools, each participant’s residence was classified as either agricultural (exposed) or non-agricultural (non-exposed) based on its proximity to agricultural land. Non-agricultural areas were defined as locations where residents lived at least 500 meters away from an agricultural field. These areas primarily included small villages, towns, and suburban settlements. Participants were grouped based on their residential proximity to conventionally farmed agricultural fields, which served as an indicator of potential environmental exposure to pesticides. Individuals residing within 250 meters of an agricultural field were classified as the potentially more exposed group or the agricultural group, while those living at least 500 meters away from cultivated land were assigned to be the control group or the non-agricultural group. This classification was based on previous findings that suggest proximity to pesticide application sites is a determinant of exposure, potentially due to pesticide drift and environmental contamination of surrounding areas </w:t>
      </w:r>
      <w:sdt>
        <w:sdtPr>
          <w:rPr>
            <w:rFonts w:ascii="Times New Roman" w:hAnsi="Times New Roman" w:cs="Times New Roman"/>
            <w:color w:val="000000"/>
            <w:sz w:val="24"/>
            <w:szCs w:val="24"/>
          </w:rPr>
          <w:tag w:val="MENDELEY_CITATION_v3_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"/>
          <w:id w:val="-313337465"/>
          <w:placeholder>
            <w:docPart w:val="D855D2BEC01F440CA0B48335016DEADC"/>
          </w:placeholder>
        </w:sdtPr>
        <w:sdtContent>
          <w:r w:rsidRPr="00495777">
            <w:rPr>
              <w:rFonts w:ascii="Times New Roman" w:hAnsi="Times New Roman" w:cs="Times New Roman"/>
              <w:color w:val="000000"/>
              <w:sz w:val="24"/>
              <w:szCs w:val="24"/>
            </w:rPr>
            <w:t>[40]</w:t>
          </w:r>
        </w:sdtContent>
      </w:sdt>
      <w:r w:rsidRPr="002D7B42">
        <w:rPr>
          <w:rFonts w:ascii="Times New Roman" w:hAnsi="Times New Roman" w:cs="Times New Roman"/>
          <w:sz w:val="24"/>
          <w:szCs w:val="24"/>
        </w:rPr>
        <w:t>.</w:t>
      </w:r>
    </w:p>
    <w:p w14:paraId="71945024" w14:textId="77777777" w:rsidR="000D5A7A" w:rsidRPr="002D7B42" w:rsidRDefault="000D5A7A" w:rsidP="000D5A7A">
      <w:pPr>
        <w:spacing w:after="0" w:line="240" w:lineRule="auto"/>
        <w:jc w:val="both"/>
        <w:rPr>
          <w:rFonts w:ascii="Times New Roman" w:hAnsi="Times New Roman" w:cs="Times New Roman"/>
          <w:sz w:val="24"/>
          <w:szCs w:val="24"/>
        </w:rPr>
      </w:pPr>
      <w:r w:rsidRPr="002D7B42">
        <w:rPr>
          <w:rFonts w:ascii="Times New Roman" w:hAnsi="Times New Roman" w:cs="Times New Roman"/>
          <w:sz w:val="24"/>
          <w:szCs w:val="24"/>
        </w:rPr>
        <w:t xml:space="preserve">There were three main exclusion criteria for involvement in this study: (1) living in a city (referred as an area with more than 25`000 inhabitants); (2) being employed in the agricultural sector or (3) had urinary tract infections or a catheter that prevented them from providing urine samples. Cities were excluded from the study due to their high population density (exceeding 25,000 inhabitants) and significant economic activity, which includes industrial operations and high traffic volumes, factors that could introduce confounding environmental exposures. </w:t>
      </w:r>
    </w:p>
    <w:p w14:paraId="61D36060" w14:textId="77777777" w:rsidR="000D5A7A" w:rsidRPr="002D7B42" w:rsidRDefault="000D5A7A" w:rsidP="000D5A7A">
      <w:pPr>
        <w:jc w:val="both"/>
        <w:rPr>
          <w:rFonts w:ascii="Times New Roman" w:hAnsi="Times New Roman" w:cs="Times New Roman"/>
          <w:sz w:val="24"/>
          <w:szCs w:val="24"/>
        </w:rPr>
      </w:pPr>
      <w:r w:rsidRPr="002D7B42">
        <w:rPr>
          <w:rFonts w:ascii="Times New Roman" w:hAnsi="Times New Roman" w:cs="Times New Roman"/>
          <w:sz w:val="24"/>
          <w:szCs w:val="24"/>
        </w:rPr>
        <w:br w:type="page"/>
      </w:r>
    </w:p>
    <w:p w14:paraId="052520EA" w14:textId="77777777" w:rsidR="000D5A7A" w:rsidRPr="00923B6A" w:rsidRDefault="000D5A7A" w:rsidP="000D5A7A">
      <w:pPr>
        <w:spacing w:after="0" w:line="240" w:lineRule="auto"/>
        <w:rPr>
          <w:rFonts w:ascii="Times New Roman" w:hAnsi="Times New Roman" w:cs="Times New Roman"/>
          <w:b/>
          <w:bCs/>
        </w:rPr>
      </w:pPr>
      <w:r w:rsidRPr="002802B1">
        <w:rPr>
          <w:rFonts w:ascii="Times New Roman" w:hAnsi="Times New Roman" w:cs="Times New Roman"/>
          <w:b/>
          <w:bCs/>
        </w:rPr>
        <w:lastRenderedPageBreak/>
        <w:t>Annex 2. Annotated</w:t>
      </w:r>
      <w:r w:rsidRPr="00923B6A">
        <w:rPr>
          <w:rFonts w:ascii="Times New Roman" w:hAnsi="Times New Roman" w:cs="Times New Roman"/>
          <w:b/>
          <w:bCs/>
        </w:rPr>
        <w:t xml:space="preserve"> pesticide biomarkers (Schymanski confidence levels 1 and 2) and overall detection frequency (%) in Latvia</w:t>
      </w:r>
    </w:p>
    <w:tbl>
      <w:tblPr>
        <w:tblStyle w:val="Tabellenraster1"/>
        <w:tblpPr w:leftFromText="180" w:rightFromText="180" w:tblpY="630"/>
        <w:tblW w:w="5000" w:type="pct"/>
        <w:tblLook w:val="04A0" w:firstRow="1" w:lastRow="0" w:firstColumn="1" w:lastColumn="0" w:noHBand="0" w:noVBand="1"/>
      </w:tblPr>
      <w:tblGrid>
        <w:gridCol w:w="3626"/>
        <w:gridCol w:w="1802"/>
        <w:gridCol w:w="1483"/>
        <w:gridCol w:w="2151"/>
      </w:tblGrid>
      <w:tr w:rsidR="000D5A7A" w:rsidRPr="00923B6A" w14:paraId="21D4FB13" w14:textId="77777777" w:rsidTr="000B1BB7">
        <w:tc>
          <w:tcPr>
            <w:tcW w:w="2001" w:type="pct"/>
            <w:hideMark/>
          </w:tcPr>
          <w:p w14:paraId="7C6C62E8" w14:textId="77777777" w:rsidR="000D5A7A" w:rsidRPr="00923B6A" w:rsidRDefault="000D5A7A" w:rsidP="000B1BB7">
            <w:pPr>
              <w:jc w:val="center"/>
              <w:rPr>
                <w:rFonts w:ascii="Times New Roman" w:hAnsi="Times New Roman" w:cs="Times New Roman"/>
                <w:b/>
                <w:bCs/>
                <w:color w:val="auto"/>
                <w:lang w:val="lv-LV"/>
              </w:rPr>
            </w:pPr>
            <w:r w:rsidRPr="00923B6A">
              <w:rPr>
                <w:rFonts w:ascii="Times New Roman" w:hAnsi="Times New Roman" w:cs="Times New Roman"/>
                <w:b/>
                <w:bCs/>
                <w:color w:val="auto"/>
                <w:lang w:val="lv-LV"/>
              </w:rPr>
              <w:t>Parent pesticide</w:t>
            </w:r>
          </w:p>
        </w:tc>
        <w:tc>
          <w:tcPr>
            <w:tcW w:w="994" w:type="pct"/>
            <w:hideMark/>
          </w:tcPr>
          <w:p w14:paraId="651B5D6F" w14:textId="77777777" w:rsidR="000D5A7A" w:rsidRPr="00923B6A" w:rsidRDefault="000D5A7A" w:rsidP="000B1BB7">
            <w:pPr>
              <w:jc w:val="center"/>
              <w:rPr>
                <w:rFonts w:ascii="Times New Roman" w:hAnsi="Times New Roman" w:cs="Times New Roman"/>
                <w:b/>
                <w:bCs/>
                <w:color w:val="auto"/>
                <w:lang w:val="lv-LV"/>
              </w:rPr>
            </w:pPr>
            <w:r w:rsidRPr="00923B6A">
              <w:rPr>
                <w:rFonts w:ascii="Times New Roman" w:hAnsi="Times New Roman" w:cs="Times New Roman"/>
                <w:b/>
                <w:bCs/>
                <w:color w:val="auto"/>
                <w:lang w:val="lv-LV"/>
              </w:rPr>
              <w:t>Biomarker / annotation</w:t>
            </w:r>
            <w:r w:rsidRPr="00923B6A">
              <w:rPr>
                <w:rFonts w:ascii="Times New Roman" w:hAnsi="Times New Roman" w:cs="Times New Roman"/>
                <w:b/>
                <w:bCs/>
                <w:vertAlign w:val="superscript"/>
                <w:lang w:val="lv-LV"/>
              </w:rPr>
              <w:t>a</w:t>
            </w:r>
          </w:p>
        </w:tc>
        <w:tc>
          <w:tcPr>
            <w:tcW w:w="818" w:type="pct"/>
            <w:hideMark/>
          </w:tcPr>
          <w:p w14:paraId="65DC4E9A" w14:textId="77777777" w:rsidR="000D5A7A" w:rsidRPr="00923B6A" w:rsidRDefault="000D5A7A" w:rsidP="000B1BB7">
            <w:pPr>
              <w:jc w:val="center"/>
              <w:rPr>
                <w:rFonts w:ascii="Times New Roman" w:hAnsi="Times New Roman" w:cs="Times New Roman"/>
                <w:b/>
                <w:bCs/>
                <w:color w:val="auto"/>
                <w:lang w:val="lv-LV"/>
              </w:rPr>
            </w:pPr>
            <w:r w:rsidRPr="00923B6A">
              <w:rPr>
                <w:rFonts w:ascii="Times New Roman" w:hAnsi="Times New Roman" w:cs="Times New Roman"/>
                <w:b/>
                <w:bCs/>
                <w:color w:val="auto"/>
                <w:lang w:val="lv-LV"/>
              </w:rPr>
              <w:t>Confidence level</w:t>
            </w:r>
            <w:r w:rsidRPr="00923B6A">
              <w:rPr>
                <w:rFonts w:ascii="Times New Roman" w:hAnsi="Times New Roman" w:cs="Times New Roman"/>
                <w:b/>
                <w:bCs/>
                <w:vertAlign w:val="superscript"/>
                <w:lang w:val="lv-LV"/>
              </w:rPr>
              <w:t>b</w:t>
            </w:r>
          </w:p>
        </w:tc>
        <w:tc>
          <w:tcPr>
            <w:tcW w:w="1187" w:type="pct"/>
            <w:hideMark/>
          </w:tcPr>
          <w:p w14:paraId="4FC05DA2" w14:textId="77777777" w:rsidR="000D5A7A" w:rsidRPr="00923B6A" w:rsidRDefault="000D5A7A" w:rsidP="000B1BB7">
            <w:pPr>
              <w:jc w:val="center"/>
              <w:rPr>
                <w:rFonts w:ascii="Times New Roman" w:hAnsi="Times New Roman" w:cs="Times New Roman"/>
                <w:b/>
                <w:bCs/>
                <w:color w:val="auto"/>
                <w:lang w:val="lv-LV"/>
              </w:rPr>
            </w:pPr>
            <w:r w:rsidRPr="00923B6A">
              <w:rPr>
                <w:rFonts w:ascii="Times New Roman" w:hAnsi="Times New Roman" w:cs="Times New Roman"/>
                <w:b/>
                <w:bCs/>
                <w:color w:val="auto"/>
                <w:lang w:val="lv-LV"/>
              </w:rPr>
              <w:t>Detection frequency (%) – Latvia</w:t>
            </w:r>
          </w:p>
        </w:tc>
      </w:tr>
      <w:tr w:rsidR="000D5A7A" w:rsidRPr="00923B6A" w14:paraId="72836475" w14:textId="77777777" w:rsidTr="000B1BB7">
        <w:tc>
          <w:tcPr>
            <w:tcW w:w="2001" w:type="pct"/>
            <w:hideMark/>
          </w:tcPr>
          <w:p w14:paraId="02B0DEF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2,4-Dichlorophenoxyacetic acid</w:t>
            </w:r>
          </w:p>
        </w:tc>
        <w:tc>
          <w:tcPr>
            <w:tcW w:w="994" w:type="pct"/>
            <w:hideMark/>
          </w:tcPr>
          <w:p w14:paraId="5666AC7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Parent</w:t>
            </w:r>
          </w:p>
        </w:tc>
        <w:tc>
          <w:tcPr>
            <w:tcW w:w="818" w:type="pct"/>
            <w:hideMark/>
          </w:tcPr>
          <w:p w14:paraId="3BF3C31A"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119093D1"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3F4D4BC7" w14:textId="77777777" w:rsidTr="000B1BB7">
        <w:tc>
          <w:tcPr>
            <w:tcW w:w="2001" w:type="pct"/>
            <w:hideMark/>
          </w:tcPr>
          <w:p w14:paraId="35B1CACD"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Acetamiprid</w:t>
            </w:r>
          </w:p>
        </w:tc>
        <w:tc>
          <w:tcPr>
            <w:tcW w:w="994" w:type="pct"/>
            <w:hideMark/>
          </w:tcPr>
          <w:p w14:paraId="00BDDC5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–CH2</w:t>
            </w:r>
          </w:p>
        </w:tc>
        <w:tc>
          <w:tcPr>
            <w:tcW w:w="818" w:type="pct"/>
            <w:hideMark/>
          </w:tcPr>
          <w:p w14:paraId="0EBA9C1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280412AD"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33</w:t>
            </w:r>
          </w:p>
        </w:tc>
      </w:tr>
      <w:tr w:rsidR="000D5A7A" w:rsidRPr="00923B6A" w14:paraId="024CF1AD" w14:textId="77777777" w:rsidTr="000B1BB7">
        <w:tc>
          <w:tcPr>
            <w:tcW w:w="2001" w:type="pct"/>
            <w:hideMark/>
          </w:tcPr>
          <w:p w14:paraId="1360FA15"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Ametoctradin</w:t>
            </w:r>
          </w:p>
        </w:tc>
        <w:tc>
          <w:tcPr>
            <w:tcW w:w="994" w:type="pct"/>
            <w:hideMark/>
          </w:tcPr>
          <w:p w14:paraId="0A66BF4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–C2H6 + 2O</w:t>
            </w:r>
          </w:p>
        </w:tc>
        <w:tc>
          <w:tcPr>
            <w:tcW w:w="818" w:type="pct"/>
            <w:hideMark/>
          </w:tcPr>
          <w:p w14:paraId="22C439B2"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5CE618A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2.7</w:t>
            </w:r>
          </w:p>
        </w:tc>
      </w:tr>
      <w:tr w:rsidR="000D5A7A" w:rsidRPr="00923B6A" w14:paraId="326C9C75" w14:textId="77777777" w:rsidTr="000B1BB7">
        <w:tc>
          <w:tcPr>
            <w:tcW w:w="2001" w:type="pct"/>
            <w:hideMark/>
          </w:tcPr>
          <w:p w14:paraId="5CE02B0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Boscalid</w:t>
            </w:r>
          </w:p>
        </w:tc>
        <w:tc>
          <w:tcPr>
            <w:tcW w:w="994" w:type="pct"/>
            <w:hideMark/>
          </w:tcPr>
          <w:p w14:paraId="1EDE7ED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 + SO3</w:t>
            </w:r>
            <w:r w:rsidRPr="00392BE6">
              <w:rPr>
                <w:rFonts w:ascii="Times New Roman" w:hAnsi="Times New Roman" w:cs="Times New Roman"/>
                <w:sz w:val="20"/>
                <w:szCs w:val="20"/>
                <w:vertAlign w:val="superscript"/>
                <w:lang w:val="lv-LV"/>
              </w:rPr>
              <w:t>c</w:t>
            </w:r>
          </w:p>
        </w:tc>
        <w:tc>
          <w:tcPr>
            <w:tcW w:w="818" w:type="pct"/>
            <w:hideMark/>
          </w:tcPr>
          <w:p w14:paraId="58B4AE6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2694B83C"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18</w:t>
            </w:r>
          </w:p>
        </w:tc>
      </w:tr>
      <w:tr w:rsidR="000D5A7A" w:rsidRPr="00923B6A" w14:paraId="3A7D5ADC" w14:textId="77777777" w:rsidTr="000B1BB7">
        <w:tc>
          <w:tcPr>
            <w:tcW w:w="2001" w:type="pct"/>
            <w:hideMark/>
          </w:tcPr>
          <w:p w14:paraId="0BBAF2F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Boscalid</w:t>
            </w:r>
          </w:p>
        </w:tc>
        <w:tc>
          <w:tcPr>
            <w:tcW w:w="994" w:type="pct"/>
            <w:hideMark/>
          </w:tcPr>
          <w:p w14:paraId="1E08E6D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 + SO3</w:t>
            </w:r>
            <w:r w:rsidRPr="00392BE6">
              <w:rPr>
                <w:rFonts w:ascii="Times New Roman" w:hAnsi="Times New Roman" w:cs="Times New Roman"/>
                <w:sz w:val="20"/>
                <w:szCs w:val="20"/>
                <w:vertAlign w:val="superscript"/>
                <w:lang w:val="lv-LV"/>
              </w:rPr>
              <w:t>d</w:t>
            </w:r>
          </w:p>
        </w:tc>
        <w:tc>
          <w:tcPr>
            <w:tcW w:w="818" w:type="pct"/>
            <w:hideMark/>
          </w:tcPr>
          <w:p w14:paraId="568CCDE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72C2E94E"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3A2C8EA4" w14:textId="77777777" w:rsidTr="000B1BB7">
        <w:tc>
          <w:tcPr>
            <w:tcW w:w="2001" w:type="pct"/>
            <w:hideMark/>
          </w:tcPr>
          <w:p w14:paraId="761377C5"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Chlorantraniliprole</w:t>
            </w:r>
          </w:p>
        </w:tc>
        <w:tc>
          <w:tcPr>
            <w:tcW w:w="994" w:type="pct"/>
            <w:hideMark/>
          </w:tcPr>
          <w:p w14:paraId="63E6B63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w:t>
            </w:r>
          </w:p>
        </w:tc>
        <w:tc>
          <w:tcPr>
            <w:tcW w:w="818" w:type="pct"/>
            <w:hideMark/>
          </w:tcPr>
          <w:p w14:paraId="24E8C9A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118BC5B6"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0.3</w:t>
            </w:r>
          </w:p>
        </w:tc>
      </w:tr>
      <w:tr w:rsidR="000D5A7A" w:rsidRPr="00923B6A" w14:paraId="7F4200AB" w14:textId="77777777" w:rsidTr="000B1BB7">
        <w:tc>
          <w:tcPr>
            <w:tcW w:w="2001" w:type="pct"/>
            <w:hideMark/>
          </w:tcPr>
          <w:p w14:paraId="5A68F3E8"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Chlorpropham</w:t>
            </w:r>
          </w:p>
        </w:tc>
        <w:tc>
          <w:tcPr>
            <w:tcW w:w="994" w:type="pct"/>
            <w:hideMark/>
          </w:tcPr>
          <w:p w14:paraId="0761EC51"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 + SO3 (4-HSA)</w:t>
            </w:r>
          </w:p>
        </w:tc>
        <w:tc>
          <w:tcPr>
            <w:tcW w:w="818" w:type="pct"/>
            <w:hideMark/>
          </w:tcPr>
          <w:p w14:paraId="52B39B8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4F620AB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32</w:t>
            </w:r>
          </w:p>
        </w:tc>
      </w:tr>
      <w:tr w:rsidR="000D5A7A" w:rsidRPr="00923B6A" w14:paraId="3AD781B7" w14:textId="77777777" w:rsidTr="000B1BB7">
        <w:tc>
          <w:tcPr>
            <w:tcW w:w="2001" w:type="pct"/>
            <w:hideMark/>
          </w:tcPr>
          <w:p w14:paraId="2220996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Chlorpyrifos (methyl)</w:t>
            </w:r>
          </w:p>
        </w:tc>
        <w:tc>
          <w:tcPr>
            <w:tcW w:w="994" w:type="pct"/>
            <w:hideMark/>
          </w:tcPr>
          <w:p w14:paraId="57AAEDCC"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TCPy</w:t>
            </w:r>
          </w:p>
        </w:tc>
        <w:tc>
          <w:tcPr>
            <w:tcW w:w="818" w:type="pct"/>
            <w:hideMark/>
          </w:tcPr>
          <w:p w14:paraId="537186F8"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4553CC75"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65FE02EA" w14:textId="77777777" w:rsidTr="000B1BB7">
        <w:tc>
          <w:tcPr>
            <w:tcW w:w="2001" w:type="pct"/>
            <w:hideMark/>
          </w:tcPr>
          <w:p w14:paraId="789821D1"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Chlorpyrifos (methyl)</w:t>
            </w:r>
          </w:p>
        </w:tc>
        <w:tc>
          <w:tcPr>
            <w:tcW w:w="994" w:type="pct"/>
            <w:hideMark/>
          </w:tcPr>
          <w:p w14:paraId="7F56550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–CH2</w:t>
            </w:r>
          </w:p>
        </w:tc>
        <w:tc>
          <w:tcPr>
            <w:tcW w:w="818" w:type="pct"/>
            <w:hideMark/>
          </w:tcPr>
          <w:p w14:paraId="2E098C98"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3F6377F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6D6E6434" w14:textId="77777777" w:rsidTr="000B1BB7">
        <w:tc>
          <w:tcPr>
            <w:tcW w:w="2001" w:type="pct"/>
            <w:hideMark/>
          </w:tcPr>
          <w:p w14:paraId="5CC2B016"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Clopyralid</w:t>
            </w:r>
          </w:p>
        </w:tc>
        <w:tc>
          <w:tcPr>
            <w:tcW w:w="994" w:type="pct"/>
            <w:hideMark/>
          </w:tcPr>
          <w:p w14:paraId="33EA171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Parent</w:t>
            </w:r>
          </w:p>
        </w:tc>
        <w:tc>
          <w:tcPr>
            <w:tcW w:w="818" w:type="pct"/>
            <w:hideMark/>
          </w:tcPr>
          <w:p w14:paraId="36853BDA"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3055FA41"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16E679F2" w14:textId="77777777" w:rsidTr="000B1BB7">
        <w:tc>
          <w:tcPr>
            <w:tcW w:w="2001" w:type="pct"/>
            <w:hideMark/>
          </w:tcPr>
          <w:p w14:paraId="3F0721DE"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Clothianidin (can come from thiamethoxam)</w:t>
            </w:r>
          </w:p>
        </w:tc>
        <w:tc>
          <w:tcPr>
            <w:tcW w:w="994" w:type="pct"/>
            <w:hideMark/>
          </w:tcPr>
          <w:p w14:paraId="0FAB089C"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Parent</w:t>
            </w:r>
          </w:p>
        </w:tc>
        <w:tc>
          <w:tcPr>
            <w:tcW w:w="818" w:type="pct"/>
            <w:hideMark/>
          </w:tcPr>
          <w:p w14:paraId="2F75FCAC"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5C6B2E92"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1.7</w:t>
            </w:r>
          </w:p>
        </w:tc>
      </w:tr>
      <w:tr w:rsidR="000D5A7A" w:rsidRPr="00923B6A" w14:paraId="5DDB50FC" w14:textId="77777777" w:rsidTr="000B1BB7">
        <w:tc>
          <w:tcPr>
            <w:tcW w:w="2001" w:type="pct"/>
            <w:hideMark/>
          </w:tcPr>
          <w:p w14:paraId="22E109C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Clothianidin (can come from thiamethoxam)</w:t>
            </w:r>
          </w:p>
        </w:tc>
        <w:tc>
          <w:tcPr>
            <w:tcW w:w="994" w:type="pct"/>
            <w:hideMark/>
          </w:tcPr>
          <w:p w14:paraId="2E40574E"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–NO2 + H</w:t>
            </w:r>
          </w:p>
        </w:tc>
        <w:tc>
          <w:tcPr>
            <w:tcW w:w="818" w:type="pct"/>
            <w:hideMark/>
          </w:tcPr>
          <w:p w14:paraId="7562208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5086C90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622A3BDD" w14:textId="77777777" w:rsidTr="000B1BB7">
        <w:tc>
          <w:tcPr>
            <w:tcW w:w="2001" w:type="pct"/>
            <w:hideMark/>
          </w:tcPr>
          <w:p w14:paraId="41BEB0E8"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Clothianidin (can come from thiamethoxam)</w:t>
            </w:r>
          </w:p>
        </w:tc>
        <w:tc>
          <w:tcPr>
            <w:tcW w:w="994" w:type="pct"/>
            <w:hideMark/>
          </w:tcPr>
          <w:p w14:paraId="4B959A8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–CH2</w:t>
            </w:r>
          </w:p>
        </w:tc>
        <w:tc>
          <w:tcPr>
            <w:tcW w:w="818" w:type="pct"/>
            <w:hideMark/>
          </w:tcPr>
          <w:p w14:paraId="4557377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3DF7B01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0.8</w:t>
            </w:r>
          </w:p>
        </w:tc>
      </w:tr>
      <w:tr w:rsidR="000D5A7A" w:rsidRPr="00923B6A" w14:paraId="1D07505D" w14:textId="77777777" w:rsidTr="000B1BB7">
        <w:tc>
          <w:tcPr>
            <w:tcW w:w="2001" w:type="pct"/>
            <w:hideMark/>
          </w:tcPr>
          <w:p w14:paraId="09477643"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Cypermethrin / cyfluthrin / permethrin / transfluthrin</w:t>
            </w:r>
          </w:p>
        </w:tc>
        <w:tc>
          <w:tcPr>
            <w:tcW w:w="994" w:type="pct"/>
            <w:hideMark/>
          </w:tcPr>
          <w:p w14:paraId="1590AE2D"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DCCA</w:t>
            </w:r>
          </w:p>
        </w:tc>
        <w:tc>
          <w:tcPr>
            <w:tcW w:w="818" w:type="pct"/>
            <w:hideMark/>
          </w:tcPr>
          <w:p w14:paraId="6A76B2E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66BA882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4D060755" w14:textId="77777777" w:rsidTr="000B1BB7">
        <w:tc>
          <w:tcPr>
            <w:tcW w:w="2001" w:type="pct"/>
            <w:hideMark/>
          </w:tcPr>
          <w:p w14:paraId="3CA2B8B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Cyprodinil</w:t>
            </w:r>
          </w:p>
        </w:tc>
        <w:tc>
          <w:tcPr>
            <w:tcW w:w="994" w:type="pct"/>
            <w:hideMark/>
          </w:tcPr>
          <w:p w14:paraId="4995B992"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 + SO3</w:t>
            </w:r>
          </w:p>
        </w:tc>
        <w:tc>
          <w:tcPr>
            <w:tcW w:w="818" w:type="pct"/>
            <w:hideMark/>
          </w:tcPr>
          <w:p w14:paraId="0FFCF58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7662F2B5"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7.7</w:t>
            </w:r>
          </w:p>
        </w:tc>
      </w:tr>
      <w:tr w:rsidR="000D5A7A" w:rsidRPr="00923B6A" w14:paraId="0B5AC6E1" w14:textId="77777777" w:rsidTr="000B1BB7">
        <w:tc>
          <w:tcPr>
            <w:tcW w:w="2001" w:type="pct"/>
            <w:hideMark/>
          </w:tcPr>
          <w:p w14:paraId="7B543233"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Flonicamid</w:t>
            </w:r>
          </w:p>
        </w:tc>
        <w:tc>
          <w:tcPr>
            <w:tcW w:w="994" w:type="pct"/>
            <w:hideMark/>
          </w:tcPr>
          <w:p w14:paraId="6816C51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Parent</w:t>
            </w:r>
          </w:p>
        </w:tc>
        <w:tc>
          <w:tcPr>
            <w:tcW w:w="818" w:type="pct"/>
            <w:hideMark/>
          </w:tcPr>
          <w:p w14:paraId="4C92DE7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396C508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0.8</w:t>
            </w:r>
          </w:p>
        </w:tc>
      </w:tr>
      <w:tr w:rsidR="000D5A7A" w:rsidRPr="00923B6A" w14:paraId="76231DF4" w14:textId="77777777" w:rsidTr="000B1BB7">
        <w:tc>
          <w:tcPr>
            <w:tcW w:w="2001" w:type="pct"/>
            <w:hideMark/>
          </w:tcPr>
          <w:p w14:paraId="348C6C2C"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Fluazifop</w:t>
            </w:r>
          </w:p>
        </w:tc>
        <w:tc>
          <w:tcPr>
            <w:tcW w:w="994" w:type="pct"/>
            <w:hideMark/>
          </w:tcPr>
          <w:p w14:paraId="0A1EA3F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–C2HN</w:t>
            </w:r>
            <w:r w:rsidRPr="00392BE6">
              <w:rPr>
                <w:rFonts w:ascii="Times New Roman" w:hAnsi="Times New Roman" w:cs="Times New Roman"/>
                <w:sz w:val="20"/>
                <w:szCs w:val="20"/>
                <w:vertAlign w:val="superscript"/>
                <w:lang w:val="lv-LV"/>
              </w:rPr>
              <w:t>c</w:t>
            </w:r>
          </w:p>
        </w:tc>
        <w:tc>
          <w:tcPr>
            <w:tcW w:w="818" w:type="pct"/>
            <w:hideMark/>
          </w:tcPr>
          <w:p w14:paraId="5483DA65"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615E34F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0.3</w:t>
            </w:r>
          </w:p>
        </w:tc>
      </w:tr>
      <w:tr w:rsidR="000D5A7A" w:rsidRPr="00923B6A" w14:paraId="1CC0F104" w14:textId="77777777" w:rsidTr="000B1BB7">
        <w:tc>
          <w:tcPr>
            <w:tcW w:w="2001" w:type="pct"/>
            <w:hideMark/>
          </w:tcPr>
          <w:p w14:paraId="3C411041"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Fluazifop</w:t>
            </w:r>
          </w:p>
        </w:tc>
        <w:tc>
          <w:tcPr>
            <w:tcW w:w="994" w:type="pct"/>
            <w:hideMark/>
          </w:tcPr>
          <w:p w14:paraId="271955C5"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Parent</w:t>
            </w:r>
            <w:r w:rsidRPr="00392BE6">
              <w:rPr>
                <w:rFonts w:ascii="Times New Roman" w:hAnsi="Times New Roman" w:cs="Times New Roman"/>
                <w:sz w:val="20"/>
                <w:szCs w:val="20"/>
                <w:vertAlign w:val="superscript"/>
                <w:lang w:val="lv-LV"/>
              </w:rPr>
              <w:t>d</w:t>
            </w:r>
          </w:p>
        </w:tc>
        <w:tc>
          <w:tcPr>
            <w:tcW w:w="818" w:type="pct"/>
            <w:hideMark/>
          </w:tcPr>
          <w:p w14:paraId="11FC3D56"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14C9CCC2"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2.5</w:t>
            </w:r>
          </w:p>
        </w:tc>
      </w:tr>
      <w:tr w:rsidR="000D5A7A" w:rsidRPr="00923B6A" w14:paraId="01FEDC18" w14:textId="77777777" w:rsidTr="000B1BB7">
        <w:tc>
          <w:tcPr>
            <w:tcW w:w="2001" w:type="pct"/>
            <w:hideMark/>
          </w:tcPr>
          <w:p w14:paraId="30EAE552"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Fludioxonil</w:t>
            </w:r>
          </w:p>
        </w:tc>
        <w:tc>
          <w:tcPr>
            <w:tcW w:w="994" w:type="pct"/>
            <w:hideMark/>
          </w:tcPr>
          <w:p w14:paraId="3E6C3D7A"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 + C8H6O6</w:t>
            </w:r>
          </w:p>
        </w:tc>
        <w:tc>
          <w:tcPr>
            <w:tcW w:w="818" w:type="pct"/>
            <w:hideMark/>
          </w:tcPr>
          <w:p w14:paraId="597F3E1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017F0C13"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2.0</w:t>
            </w:r>
          </w:p>
        </w:tc>
      </w:tr>
      <w:tr w:rsidR="000D5A7A" w:rsidRPr="00923B6A" w14:paraId="163E00EE" w14:textId="77777777" w:rsidTr="000B1BB7">
        <w:tc>
          <w:tcPr>
            <w:tcW w:w="2001" w:type="pct"/>
            <w:hideMark/>
          </w:tcPr>
          <w:p w14:paraId="294E381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Fluopyram</w:t>
            </w:r>
          </w:p>
        </w:tc>
        <w:tc>
          <w:tcPr>
            <w:tcW w:w="994" w:type="pct"/>
            <w:hideMark/>
          </w:tcPr>
          <w:p w14:paraId="38CBD37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 + SO3</w:t>
            </w:r>
          </w:p>
        </w:tc>
        <w:tc>
          <w:tcPr>
            <w:tcW w:w="818" w:type="pct"/>
            <w:hideMark/>
          </w:tcPr>
          <w:p w14:paraId="7E7C5162"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024B1A56"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0.5</w:t>
            </w:r>
          </w:p>
        </w:tc>
      </w:tr>
      <w:tr w:rsidR="000D5A7A" w:rsidRPr="00923B6A" w14:paraId="333A2754" w14:textId="77777777" w:rsidTr="000B1BB7">
        <w:tc>
          <w:tcPr>
            <w:tcW w:w="2001" w:type="pct"/>
            <w:hideMark/>
          </w:tcPr>
          <w:p w14:paraId="63B659F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Fluopyram</w:t>
            </w:r>
          </w:p>
        </w:tc>
        <w:tc>
          <w:tcPr>
            <w:tcW w:w="994" w:type="pct"/>
            <w:hideMark/>
          </w:tcPr>
          <w:p w14:paraId="65A64FB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 + C8H6O6</w:t>
            </w:r>
          </w:p>
        </w:tc>
        <w:tc>
          <w:tcPr>
            <w:tcW w:w="818" w:type="pct"/>
            <w:hideMark/>
          </w:tcPr>
          <w:p w14:paraId="384D0A6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7E94F2F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0.8</w:t>
            </w:r>
          </w:p>
        </w:tc>
      </w:tr>
      <w:tr w:rsidR="000D5A7A" w:rsidRPr="00923B6A" w14:paraId="64CAA8D6" w14:textId="77777777" w:rsidTr="000B1BB7">
        <w:tc>
          <w:tcPr>
            <w:tcW w:w="2001" w:type="pct"/>
            <w:hideMark/>
          </w:tcPr>
          <w:p w14:paraId="59039882"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Fluopyram</w:t>
            </w:r>
          </w:p>
        </w:tc>
        <w:tc>
          <w:tcPr>
            <w:tcW w:w="994" w:type="pct"/>
            <w:hideMark/>
          </w:tcPr>
          <w:p w14:paraId="79FE88A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–2H</w:t>
            </w:r>
          </w:p>
        </w:tc>
        <w:tc>
          <w:tcPr>
            <w:tcW w:w="818" w:type="pct"/>
            <w:hideMark/>
          </w:tcPr>
          <w:p w14:paraId="34CCFE7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374B74C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6.7</w:t>
            </w:r>
          </w:p>
        </w:tc>
      </w:tr>
      <w:tr w:rsidR="000D5A7A" w:rsidRPr="00923B6A" w14:paraId="65BC9E32" w14:textId="77777777" w:rsidTr="000B1BB7">
        <w:tc>
          <w:tcPr>
            <w:tcW w:w="2001" w:type="pct"/>
            <w:hideMark/>
          </w:tcPr>
          <w:p w14:paraId="4DBC17B2"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Flupyradifurone</w:t>
            </w:r>
          </w:p>
        </w:tc>
        <w:tc>
          <w:tcPr>
            <w:tcW w:w="994" w:type="pct"/>
            <w:hideMark/>
          </w:tcPr>
          <w:p w14:paraId="43E5EE7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Parent</w:t>
            </w:r>
          </w:p>
        </w:tc>
        <w:tc>
          <w:tcPr>
            <w:tcW w:w="818" w:type="pct"/>
            <w:hideMark/>
          </w:tcPr>
          <w:p w14:paraId="66FA2D2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26A3673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0.3</w:t>
            </w:r>
          </w:p>
        </w:tc>
      </w:tr>
      <w:tr w:rsidR="000D5A7A" w:rsidRPr="00923B6A" w14:paraId="13887952" w14:textId="77777777" w:rsidTr="000B1BB7">
        <w:tc>
          <w:tcPr>
            <w:tcW w:w="2001" w:type="pct"/>
            <w:hideMark/>
          </w:tcPr>
          <w:p w14:paraId="100DDAD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Fluvalinate</w:t>
            </w:r>
          </w:p>
        </w:tc>
        <w:tc>
          <w:tcPr>
            <w:tcW w:w="994" w:type="pct"/>
            <w:hideMark/>
          </w:tcPr>
          <w:p w14:paraId="7E91AC3E"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–C14H9NO</w:t>
            </w:r>
          </w:p>
        </w:tc>
        <w:tc>
          <w:tcPr>
            <w:tcW w:w="818" w:type="pct"/>
            <w:hideMark/>
          </w:tcPr>
          <w:p w14:paraId="3589B891"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7F7A57D5"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5EF63906" w14:textId="77777777" w:rsidTr="000B1BB7">
        <w:tc>
          <w:tcPr>
            <w:tcW w:w="2001" w:type="pct"/>
            <w:hideMark/>
          </w:tcPr>
          <w:p w14:paraId="75A30AD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Imazalil</w:t>
            </w:r>
          </w:p>
        </w:tc>
        <w:tc>
          <w:tcPr>
            <w:tcW w:w="994" w:type="pct"/>
            <w:hideMark/>
          </w:tcPr>
          <w:p w14:paraId="0AE3C1F6"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+C6H8O8</w:t>
            </w:r>
          </w:p>
        </w:tc>
        <w:tc>
          <w:tcPr>
            <w:tcW w:w="818" w:type="pct"/>
            <w:hideMark/>
          </w:tcPr>
          <w:p w14:paraId="5E94A48D"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0779992E"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11</w:t>
            </w:r>
          </w:p>
        </w:tc>
      </w:tr>
      <w:tr w:rsidR="000D5A7A" w:rsidRPr="00923B6A" w14:paraId="263055A9" w14:textId="77777777" w:rsidTr="000B1BB7">
        <w:tc>
          <w:tcPr>
            <w:tcW w:w="2001" w:type="pct"/>
            <w:hideMark/>
          </w:tcPr>
          <w:p w14:paraId="26F687AD"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Imidacloprid</w:t>
            </w:r>
          </w:p>
        </w:tc>
        <w:tc>
          <w:tcPr>
            <w:tcW w:w="994" w:type="pct"/>
            <w:hideMark/>
          </w:tcPr>
          <w:p w14:paraId="5ABFD24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–NO2 + H</w:t>
            </w:r>
          </w:p>
        </w:tc>
        <w:tc>
          <w:tcPr>
            <w:tcW w:w="818" w:type="pct"/>
            <w:hideMark/>
          </w:tcPr>
          <w:p w14:paraId="0BF31D9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08C26F31"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1.7</w:t>
            </w:r>
          </w:p>
        </w:tc>
      </w:tr>
      <w:tr w:rsidR="000D5A7A" w:rsidRPr="00923B6A" w14:paraId="52B1527E" w14:textId="77777777" w:rsidTr="000B1BB7">
        <w:tc>
          <w:tcPr>
            <w:tcW w:w="2001" w:type="pct"/>
            <w:hideMark/>
          </w:tcPr>
          <w:p w14:paraId="27530A5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Penconazole</w:t>
            </w:r>
          </w:p>
        </w:tc>
        <w:tc>
          <w:tcPr>
            <w:tcW w:w="994" w:type="pct"/>
            <w:hideMark/>
          </w:tcPr>
          <w:p w14:paraId="37C06C32"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 + C8H6O6</w:t>
            </w:r>
          </w:p>
        </w:tc>
        <w:tc>
          <w:tcPr>
            <w:tcW w:w="818" w:type="pct"/>
            <w:hideMark/>
          </w:tcPr>
          <w:p w14:paraId="6C0383A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5DDF183A"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1.7</w:t>
            </w:r>
          </w:p>
        </w:tc>
      </w:tr>
      <w:tr w:rsidR="000D5A7A" w:rsidRPr="00923B6A" w14:paraId="7D54C923" w14:textId="77777777" w:rsidTr="000B1BB7">
        <w:tc>
          <w:tcPr>
            <w:tcW w:w="2001" w:type="pct"/>
            <w:hideMark/>
          </w:tcPr>
          <w:p w14:paraId="77B69B6A"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Pirimiphos-methyl</w:t>
            </w:r>
          </w:p>
        </w:tc>
        <w:tc>
          <w:tcPr>
            <w:tcW w:w="994" w:type="pct"/>
            <w:hideMark/>
          </w:tcPr>
          <w:p w14:paraId="33752413"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–CH2</w:t>
            </w:r>
          </w:p>
        </w:tc>
        <w:tc>
          <w:tcPr>
            <w:tcW w:w="818" w:type="pct"/>
            <w:hideMark/>
          </w:tcPr>
          <w:p w14:paraId="2FF5BC6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01498A8C"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10</w:t>
            </w:r>
          </w:p>
        </w:tc>
      </w:tr>
      <w:tr w:rsidR="000D5A7A" w:rsidRPr="00923B6A" w14:paraId="73E324D4" w14:textId="77777777" w:rsidTr="000B1BB7">
        <w:tc>
          <w:tcPr>
            <w:tcW w:w="2001" w:type="pct"/>
            <w:hideMark/>
          </w:tcPr>
          <w:p w14:paraId="38B55155"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Propamocarb</w:t>
            </w:r>
          </w:p>
        </w:tc>
        <w:tc>
          <w:tcPr>
            <w:tcW w:w="994" w:type="pct"/>
            <w:hideMark/>
          </w:tcPr>
          <w:p w14:paraId="1EFDF46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Parent</w:t>
            </w:r>
          </w:p>
        </w:tc>
        <w:tc>
          <w:tcPr>
            <w:tcW w:w="818" w:type="pct"/>
            <w:hideMark/>
          </w:tcPr>
          <w:p w14:paraId="0F9715E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322FEEA6"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r>
      <w:tr w:rsidR="000D5A7A" w:rsidRPr="00923B6A" w14:paraId="5971F67A" w14:textId="77777777" w:rsidTr="000B1BB7">
        <w:tc>
          <w:tcPr>
            <w:tcW w:w="2001" w:type="pct"/>
            <w:hideMark/>
          </w:tcPr>
          <w:p w14:paraId="6C08C0A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Propamocarb</w:t>
            </w:r>
          </w:p>
        </w:tc>
        <w:tc>
          <w:tcPr>
            <w:tcW w:w="994" w:type="pct"/>
            <w:hideMark/>
          </w:tcPr>
          <w:p w14:paraId="26D33583"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w:t>
            </w:r>
          </w:p>
        </w:tc>
        <w:tc>
          <w:tcPr>
            <w:tcW w:w="818" w:type="pct"/>
            <w:hideMark/>
          </w:tcPr>
          <w:p w14:paraId="0FB8A5A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39B7C0F3"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55</w:t>
            </w:r>
          </w:p>
        </w:tc>
      </w:tr>
      <w:tr w:rsidR="000D5A7A" w:rsidRPr="00923B6A" w14:paraId="58A5FB8C" w14:textId="77777777" w:rsidTr="000B1BB7">
        <w:tc>
          <w:tcPr>
            <w:tcW w:w="2001" w:type="pct"/>
            <w:hideMark/>
          </w:tcPr>
          <w:p w14:paraId="04099C1D"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Propyzamide</w:t>
            </w:r>
          </w:p>
        </w:tc>
        <w:tc>
          <w:tcPr>
            <w:tcW w:w="994" w:type="pct"/>
            <w:hideMark/>
          </w:tcPr>
          <w:p w14:paraId="7FB6A653"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+H2O3</w:t>
            </w:r>
          </w:p>
        </w:tc>
        <w:tc>
          <w:tcPr>
            <w:tcW w:w="818" w:type="pct"/>
            <w:hideMark/>
          </w:tcPr>
          <w:p w14:paraId="1D17BB4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3278A02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41C7AE55" w14:textId="77777777" w:rsidTr="000B1BB7">
        <w:tc>
          <w:tcPr>
            <w:tcW w:w="2001" w:type="pct"/>
            <w:hideMark/>
          </w:tcPr>
          <w:p w14:paraId="72B006D8"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Pyrimethanil</w:t>
            </w:r>
          </w:p>
        </w:tc>
        <w:tc>
          <w:tcPr>
            <w:tcW w:w="994" w:type="pct"/>
            <w:hideMark/>
          </w:tcPr>
          <w:p w14:paraId="6603764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 + SO3</w:t>
            </w:r>
          </w:p>
        </w:tc>
        <w:tc>
          <w:tcPr>
            <w:tcW w:w="818" w:type="pct"/>
            <w:hideMark/>
          </w:tcPr>
          <w:p w14:paraId="2DDCFAD3"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118F4E9E"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14</w:t>
            </w:r>
          </w:p>
        </w:tc>
      </w:tr>
      <w:tr w:rsidR="000D5A7A" w:rsidRPr="00923B6A" w14:paraId="5C42F70B" w14:textId="77777777" w:rsidTr="000B1BB7">
        <w:tc>
          <w:tcPr>
            <w:tcW w:w="2001" w:type="pct"/>
            <w:hideMark/>
          </w:tcPr>
          <w:p w14:paraId="2477CFC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Pyrimethanil</w:t>
            </w:r>
          </w:p>
        </w:tc>
        <w:tc>
          <w:tcPr>
            <w:tcW w:w="994" w:type="pct"/>
            <w:hideMark/>
          </w:tcPr>
          <w:p w14:paraId="236B5B3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w:t>
            </w:r>
          </w:p>
        </w:tc>
        <w:tc>
          <w:tcPr>
            <w:tcW w:w="818" w:type="pct"/>
            <w:hideMark/>
          </w:tcPr>
          <w:p w14:paraId="689716DC"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0754D383"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2A464A03" w14:textId="77777777" w:rsidTr="000B1BB7">
        <w:tc>
          <w:tcPr>
            <w:tcW w:w="2001" w:type="pct"/>
            <w:hideMark/>
          </w:tcPr>
          <w:p w14:paraId="100C528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Tebuconazole</w:t>
            </w:r>
          </w:p>
        </w:tc>
        <w:tc>
          <w:tcPr>
            <w:tcW w:w="994" w:type="pct"/>
            <w:hideMark/>
          </w:tcPr>
          <w:p w14:paraId="43C64C8C"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–2H + 2O</w:t>
            </w:r>
          </w:p>
        </w:tc>
        <w:tc>
          <w:tcPr>
            <w:tcW w:w="818" w:type="pct"/>
            <w:hideMark/>
          </w:tcPr>
          <w:p w14:paraId="2973725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4CF691D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5.5</w:t>
            </w:r>
          </w:p>
        </w:tc>
      </w:tr>
      <w:tr w:rsidR="000D5A7A" w:rsidRPr="00923B6A" w14:paraId="58088566" w14:textId="77777777" w:rsidTr="000B1BB7">
        <w:tc>
          <w:tcPr>
            <w:tcW w:w="2001" w:type="pct"/>
            <w:hideMark/>
          </w:tcPr>
          <w:p w14:paraId="65922B8E"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Thiabendazole</w:t>
            </w:r>
          </w:p>
        </w:tc>
        <w:tc>
          <w:tcPr>
            <w:tcW w:w="994" w:type="pct"/>
            <w:hideMark/>
          </w:tcPr>
          <w:p w14:paraId="339DD7F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 + C8H6O6</w:t>
            </w:r>
          </w:p>
        </w:tc>
        <w:tc>
          <w:tcPr>
            <w:tcW w:w="818" w:type="pct"/>
            <w:hideMark/>
          </w:tcPr>
          <w:p w14:paraId="49727EA9"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4871FD2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0.8</w:t>
            </w:r>
          </w:p>
        </w:tc>
      </w:tr>
      <w:tr w:rsidR="000D5A7A" w:rsidRPr="00923B6A" w14:paraId="79739D7D" w14:textId="77777777" w:rsidTr="000B1BB7">
        <w:tc>
          <w:tcPr>
            <w:tcW w:w="2001" w:type="pct"/>
            <w:hideMark/>
          </w:tcPr>
          <w:p w14:paraId="59F26C8D"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Thiacloprid</w:t>
            </w:r>
          </w:p>
        </w:tc>
        <w:tc>
          <w:tcPr>
            <w:tcW w:w="994" w:type="pct"/>
            <w:hideMark/>
          </w:tcPr>
          <w:p w14:paraId="443B368A"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+O</w:t>
            </w:r>
          </w:p>
        </w:tc>
        <w:tc>
          <w:tcPr>
            <w:tcW w:w="818" w:type="pct"/>
            <w:hideMark/>
          </w:tcPr>
          <w:p w14:paraId="2EA8136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00FCB335"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0.8</w:t>
            </w:r>
          </w:p>
        </w:tc>
      </w:tr>
      <w:tr w:rsidR="000D5A7A" w:rsidRPr="00923B6A" w14:paraId="33ABDC34" w14:textId="77777777" w:rsidTr="000B1BB7">
        <w:tc>
          <w:tcPr>
            <w:tcW w:w="2001" w:type="pct"/>
            <w:hideMark/>
          </w:tcPr>
          <w:p w14:paraId="636DCF2D"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Thiamethoxam</w:t>
            </w:r>
          </w:p>
        </w:tc>
        <w:tc>
          <w:tcPr>
            <w:tcW w:w="994" w:type="pct"/>
            <w:hideMark/>
          </w:tcPr>
          <w:p w14:paraId="06B1E604"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Parent</w:t>
            </w:r>
          </w:p>
        </w:tc>
        <w:tc>
          <w:tcPr>
            <w:tcW w:w="818" w:type="pct"/>
            <w:hideMark/>
          </w:tcPr>
          <w:p w14:paraId="71D1D3C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19B79A6C"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754BAC23" w14:textId="77777777" w:rsidTr="000B1BB7">
        <w:tc>
          <w:tcPr>
            <w:tcW w:w="2001" w:type="pct"/>
            <w:hideMark/>
          </w:tcPr>
          <w:p w14:paraId="632B8EDB"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Thiamethoxam</w:t>
            </w:r>
          </w:p>
        </w:tc>
        <w:tc>
          <w:tcPr>
            <w:tcW w:w="994" w:type="pct"/>
            <w:hideMark/>
          </w:tcPr>
          <w:p w14:paraId="19144AD7"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–NO2 + H</w:t>
            </w:r>
          </w:p>
        </w:tc>
        <w:tc>
          <w:tcPr>
            <w:tcW w:w="818" w:type="pct"/>
            <w:hideMark/>
          </w:tcPr>
          <w:p w14:paraId="3A87E76F"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1</w:t>
            </w:r>
          </w:p>
        </w:tc>
        <w:tc>
          <w:tcPr>
            <w:tcW w:w="1187" w:type="pct"/>
            <w:hideMark/>
          </w:tcPr>
          <w:p w14:paraId="0AC65230"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w:t>
            </w:r>
          </w:p>
        </w:tc>
      </w:tr>
      <w:tr w:rsidR="000D5A7A" w:rsidRPr="00923B6A" w14:paraId="50BAAA10" w14:textId="77777777" w:rsidTr="000B1BB7">
        <w:tc>
          <w:tcPr>
            <w:tcW w:w="2001" w:type="pct"/>
            <w:hideMark/>
          </w:tcPr>
          <w:p w14:paraId="7317BD76"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Trifloxystrobin</w:t>
            </w:r>
          </w:p>
        </w:tc>
        <w:tc>
          <w:tcPr>
            <w:tcW w:w="994" w:type="pct"/>
            <w:hideMark/>
          </w:tcPr>
          <w:p w14:paraId="70CC56B8"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–CH2 – CH2</w:t>
            </w:r>
          </w:p>
        </w:tc>
        <w:tc>
          <w:tcPr>
            <w:tcW w:w="818" w:type="pct"/>
            <w:hideMark/>
          </w:tcPr>
          <w:p w14:paraId="6A27BE9D"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2</w:t>
            </w:r>
          </w:p>
        </w:tc>
        <w:tc>
          <w:tcPr>
            <w:tcW w:w="1187" w:type="pct"/>
            <w:hideMark/>
          </w:tcPr>
          <w:p w14:paraId="11C86AEC" w14:textId="77777777" w:rsidR="000D5A7A" w:rsidRPr="00392BE6" w:rsidRDefault="000D5A7A" w:rsidP="000B1BB7">
            <w:pPr>
              <w:jc w:val="center"/>
              <w:rPr>
                <w:rFonts w:ascii="Times New Roman" w:hAnsi="Times New Roman" w:cs="Times New Roman"/>
                <w:color w:val="auto"/>
                <w:sz w:val="20"/>
                <w:szCs w:val="20"/>
                <w:lang w:val="lv-LV"/>
              </w:rPr>
            </w:pPr>
            <w:r w:rsidRPr="00392BE6">
              <w:rPr>
                <w:rFonts w:ascii="Times New Roman" w:hAnsi="Times New Roman" w:cs="Times New Roman"/>
                <w:color w:val="auto"/>
                <w:sz w:val="20"/>
                <w:szCs w:val="20"/>
                <w:lang w:val="lv-LV"/>
              </w:rPr>
              <w:t>0.5</w:t>
            </w:r>
          </w:p>
        </w:tc>
      </w:tr>
    </w:tbl>
    <w:p w14:paraId="241B08D9" w14:textId="77777777" w:rsidR="000D5A7A" w:rsidRPr="00923B6A" w:rsidRDefault="000D5A7A" w:rsidP="000D5A7A">
      <w:pPr>
        <w:spacing w:after="0" w:line="240" w:lineRule="auto"/>
        <w:rPr>
          <w:rFonts w:ascii="Times New Roman" w:hAnsi="Times New Roman" w:cs="Times New Roman"/>
          <w:sz w:val="16"/>
          <w:szCs w:val="16"/>
        </w:rPr>
      </w:pPr>
      <w:r w:rsidRPr="00923B6A">
        <w:rPr>
          <w:rFonts w:ascii="Times New Roman" w:hAnsi="Times New Roman" w:cs="Times New Roman"/>
          <w:sz w:val="16"/>
          <w:szCs w:val="16"/>
        </w:rPr>
        <w:t xml:space="preserve">a Metabolite annotation: “-CH2” means the molecular formula of the metabolite is that of the parent minus CH2 (corresponding to demethylation). Similarly, “+O” means the metabolite is the parent compound plus one oxygen atom (hydroxylation). “+SO3” and “+C6H8O6” indicate sulfation and glucuronidation, respectively. </w:t>
      </w:r>
    </w:p>
    <w:p w14:paraId="3C2F28ED" w14:textId="77777777" w:rsidR="000D5A7A" w:rsidRPr="00923B6A" w:rsidRDefault="000D5A7A" w:rsidP="000D5A7A">
      <w:pPr>
        <w:spacing w:after="0" w:line="240" w:lineRule="auto"/>
        <w:rPr>
          <w:rFonts w:ascii="Times New Roman" w:hAnsi="Times New Roman" w:cs="Times New Roman"/>
          <w:sz w:val="16"/>
          <w:szCs w:val="16"/>
        </w:rPr>
      </w:pPr>
      <w:r w:rsidRPr="00923B6A">
        <w:rPr>
          <w:rFonts w:ascii="Times New Roman" w:hAnsi="Times New Roman" w:cs="Times New Roman"/>
          <w:sz w:val="16"/>
          <w:szCs w:val="16"/>
        </w:rPr>
        <w:t>b Schymanski confidence level, ranging from 1 to 5</w:t>
      </w:r>
      <w:r>
        <w:rPr>
          <w:rStyle w:val="FootnoteReference"/>
          <w:rFonts w:ascii="Times New Roman" w:hAnsi="Times New Roman"/>
          <w:szCs w:val="16"/>
        </w:rPr>
        <w:footnoteReference w:id="1"/>
      </w:r>
    </w:p>
    <w:p w14:paraId="7841D97F" w14:textId="77777777" w:rsidR="000D5A7A" w:rsidRPr="00923B6A" w:rsidRDefault="000D5A7A" w:rsidP="000D5A7A">
      <w:pPr>
        <w:spacing w:after="0" w:line="240" w:lineRule="auto"/>
        <w:rPr>
          <w:rFonts w:ascii="Times New Roman" w:hAnsi="Times New Roman" w:cs="Times New Roman"/>
          <w:sz w:val="16"/>
          <w:szCs w:val="16"/>
        </w:rPr>
      </w:pPr>
      <w:r w:rsidRPr="00923B6A">
        <w:rPr>
          <w:rFonts w:ascii="Times New Roman" w:hAnsi="Times New Roman" w:cs="Times New Roman"/>
          <w:sz w:val="16"/>
          <w:szCs w:val="16"/>
        </w:rPr>
        <w:lastRenderedPageBreak/>
        <w:t>c Positive precursor ion</w:t>
      </w:r>
    </w:p>
    <w:p w14:paraId="1141CF55" w14:textId="77777777" w:rsidR="000D5A7A" w:rsidRPr="002802B1" w:rsidRDefault="000D5A7A" w:rsidP="000D5A7A">
      <w:pPr>
        <w:spacing w:after="0" w:line="240" w:lineRule="auto"/>
        <w:rPr>
          <w:rFonts w:ascii="Times New Roman" w:hAnsi="Times New Roman" w:cs="Times New Roman"/>
          <w:sz w:val="16"/>
          <w:szCs w:val="16"/>
        </w:rPr>
      </w:pPr>
      <w:r w:rsidRPr="00923B6A">
        <w:rPr>
          <w:rFonts w:ascii="Times New Roman" w:hAnsi="Times New Roman" w:cs="Times New Roman"/>
          <w:sz w:val="16"/>
          <w:szCs w:val="16"/>
        </w:rPr>
        <w:t>d Negative precursor ion</w:t>
      </w:r>
    </w:p>
    <w:p w14:paraId="24BB9C77" w14:textId="77777777" w:rsidR="00EB4A2D" w:rsidRDefault="00EB4A2D"/>
    <w:sectPr w:rsidR="00EB4A2D" w:rsidSect="000D5A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88E72" w14:textId="77777777" w:rsidR="00093E77" w:rsidRDefault="00093E77" w:rsidP="000D5A7A">
      <w:pPr>
        <w:spacing w:after="0" w:line="240" w:lineRule="auto"/>
      </w:pPr>
      <w:r>
        <w:separator/>
      </w:r>
    </w:p>
  </w:endnote>
  <w:endnote w:type="continuationSeparator" w:id="0">
    <w:p w14:paraId="07665EF1" w14:textId="77777777" w:rsidR="00093E77" w:rsidRDefault="00093E77" w:rsidP="000D5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eta Serif Offc">
    <w:altName w:val="Cambria"/>
    <w:charset w:val="00"/>
    <w:family w:val="roman"/>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982F8" w14:textId="77777777" w:rsidR="00093E77" w:rsidRDefault="00093E77" w:rsidP="000D5A7A">
      <w:pPr>
        <w:spacing w:after="0" w:line="240" w:lineRule="auto"/>
      </w:pPr>
      <w:r>
        <w:separator/>
      </w:r>
    </w:p>
  </w:footnote>
  <w:footnote w:type="continuationSeparator" w:id="0">
    <w:p w14:paraId="285A1B38" w14:textId="77777777" w:rsidR="00093E77" w:rsidRDefault="00093E77" w:rsidP="000D5A7A">
      <w:pPr>
        <w:spacing w:after="0" w:line="240" w:lineRule="auto"/>
      </w:pPr>
      <w:r>
        <w:continuationSeparator/>
      </w:r>
    </w:p>
  </w:footnote>
  <w:footnote w:id="1">
    <w:p w14:paraId="342E5695" w14:textId="77777777" w:rsidR="000D5A7A" w:rsidRDefault="000D5A7A" w:rsidP="000D5A7A">
      <w:pPr>
        <w:pStyle w:val="FootnoteText"/>
      </w:pPr>
      <w:r>
        <w:rPr>
          <w:rStyle w:val="FootnoteReference"/>
        </w:rPr>
        <w:footnoteRef/>
      </w:r>
      <w:r>
        <w:t xml:space="preserve"> Schymanski E L, Jeon J, Gulde R, Fenner K, Ruff M, Singer H P, Hollender J.</w:t>
      </w:r>
      <w:r w:rsidRPr="003D145B">
        <w:t xml:space="preserve"> </w:t>
      </w:r>
      <w:r>
        <w:t xml:space="preserve">Identifying Small Molecules via High Resolution Mass Spectrometry: Communicating Confidence. </w:t>
      </w:r>
    </w:p>
    <w:p w14:paraId="70BC5437" w14:textId="77777777" w:rsidR="000D5A7A" w:rsidRDefault="000D5A7A" w:rsidP="000D5A7A">
      <w:pPr>
        <w:pStyle w:val="FootnoteText"/>
      </w:pPr>
      <w:r>
        <w:t>Environmental Science &amp; Technology 2014 48 (4), 2097-2098</w:t>
      </w:r>
    </w:p>
    <w:p w14:paraId="03F7A3C4" w14:textId="77777777" w:rsidR="000D5A7A" w:rsidRPr="002802B1" w:rsidRDefault="000D5A7A" w:rsidP="000D5A7A">
      <w:pPr>
        <w:pStyle w:val="FootnoteText"/>
        <w:rPr>
          <w:rFonts w:asciiTheme="minorHAnsi" w:hAnsiTheme="minorHAnsi"/>
          <w:lang w:val="lv-LV"/>
        </w:rPr>
      </w:pPr>
      <w:r>
        <w:t>DOI: 10.1021/es5002105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7A"/>
    <w:rsid w:val="00093E77"/>
    <w:rsid w:val="000D5A7A"/>
    <w:rsid w:val="00252A92"/>
    <w:rsid w:val="002C7D54"/>
    <w:rsid w:val="0033371E"/>
    <w:rsid w:val="005C0D39"/>
    <w:rsid w:val="0070406C"/>
    <w:rsid w:val="00724754"/>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FA7F3"/>
  <w15:chartTrackingRefBased/>
  <w15:docId w15:val="{4F163DD9-377D-49A2-A8DC-FB867E5F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A7A"/>
    <w:pPr>
      <w:spacing w:line="259" w:lineRule="auto"/>
    </w:pPr>
    <w:rPr>
      <w:sz w:val="22"/>
      <w:szCs w:val="22"/>
      <w:lang w:val="en-US"/>
    </w:rPr>
  </w:style>
  <w:style w:type="paragraph" w:styleId="Heading1">
    <w:name w:val="heading 1"/>
    <w:basedOn w:val="Normal"/>
    <w:next w:val="Normal"/>
    <w:link w:val="Heading1Char"/>
    <w:uiPriority w:val="9"/>
    <w:qFormat/>
    <w:rsid w:val="000D5A7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0D5A7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0D5A7A"/>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0D5A7A"/>
    <w:pPr>
      <w:keepNext/>
      <w:keepLines/>
      <w:spacing w:before="80" w:after="40" w:line="278" w:lineRule="auto"/>
      <w:outlineLvl w:val="3"/>
    </w:pPr>
    <w:rPr>
      <w:rFonts w:eastAsiaTheme="majorEastAsia"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0D5A7A"/>
    <w:pPr>
      <w:keepNext/>
      <w:keepLines/>
      <w:spacing w:before="80" w:after="40" w:line="278" w:lineRule="auto"/>
      <w:outlineLvl w:val="4"/>
    </w:pPr>
    <w:rPr>
      <w:rFonts w:eastAsiaTheme="majorEastAsia"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0D5A7A"/>
    <w:pPr>
      <w:keepNext/>
      <w:keepLines/>
      <w:spacing w:before="40" w:after="0" w:line="278" w:lineRule="auto"/>
      <w:outlineLvl w:val="5"/>
    </w:pPr>
    <w:rPr>
      <w:rFonts w:eastAsiaTheme="majorEastAsia"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0D5A7A"/>
    <w:pPr>
      <w:keepNext/>
      <w:keepLines/>
      <w:spacing w:before="40" w:after="0" w:line="278" w:lineRule="auto"/>
      <w:outlineLvl w:val="6"/>
    </w:pPr>
    <w:rPr>
      <w:rFonts w:eastAsiaTheme="majorEastAsia"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0D5A7A"/>
    <w:pPr>
      <w:keepNext/>
      <w:keepLines/>
      <w:spacing w:after="0" w:line="278" w:lineRule="auto"/>
      <w:outlineLvl w:val="7"/>
    </w:pPr>
    <w:rPr>
      <w:rFonts w:eastAsiaTheme="majorEastAsia"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0D5A7A"/>
    <w:pPr>
      <w:keepNext/>
      <w:keepLines/>
      <w:spacing w:after="0" w:line="278" w:lineRule="auto"/>
      <w:outlineLvl w:val="8"/>
    </w:pPr>
    <w:rPr>
      <w:rFonts w:eastAsiaTheme="majorEastAsia"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A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5A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A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A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A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A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A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A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A7A"/>
    <w:rPr>
      <w:rFonts w:eastAsiaTheme="majorEastAsia" w:cstheme="majorBidi"/>
      <w:color w:val="272727" w:themeColor="text1" w:themeTint="D8"/>
    </w:rPr>
  </w:style>
  <w:style w:type="paragraph" w:styleId="Title">
    <w:name w:val="Title"/>
    <w:basedOn w:val="Normal"/>
    <w:next w:val="Normal"/>
    <w:link w:val="TitleChar"/>
    <w:uiPriority w:val="10"/>
    <w:qFormat/>
    <w:rsid w:val="000D5A7A"/>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0D5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A7A"/>
    <w:pPr>
      <w:numPr>
        <w:ilvl w:val="1"/>
      </w:numPr>
      <w:spacing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0D5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A7A"/>
    <w:pPr>
      <w:spacing w:before="160" w:line="278" w:lineRule="auto"/>
      <w:jc w:val="center"/>
    </w:pPr>
    <w:rPr>
      <w:i/>
      <w:iCs/>
      <w:color w:val="404040" w:themeColor="text1" w:themeTint="BF"/>
      <w:sz w:val="24"/>
      <w:szCs w:val="24"/>
      <w:lang w:val="en-IN"/>
    </w:rPr>
  </w:style>
  <w:style w:type="character" w:customStyle="1" w:styleId="QuoteChar">
    <w:name w:val="Quote Char"/>
    <w:basedOn w:val="DefaultParagraphFont"/>
    <w:link w:val="Quote"/>
    <w:uiPriority w:val="29"/>
    <w:rsid w:val="000D5A7A"/>
    <w:rPr>
      <w:i/>
      <w:iCs/>
      <w:color w:val="404040" w:themeColor="text1" w:themeTint="BF"/>
    </w:rPr>
  </w:style>
  <w:style w:type="paragraph" w:styleId="ListParagraph">
    <w:name w:val="List Paragraph"/>
    <w:basedOn w:val="Normal"/>
    <w:uiPriority w:val="34"/>
    <w:qFormat/>
    <w:rsid w:val="000D5A7A"/>
    <w:pPr>
      <w:spacing w:line="278" w:lineRule="auto"/>
      <w:ind w:left="720"/>
      <w:contextualSpacing/>
    </w:pPr>
    <w:rPr>
      <w:sz w:val="24"/>
      <w:szCs w:val="24"/>
      <w:lang w:val="en-IN"/>
    </w:rPr>
  </w:style>
  <w:style w:type="character" w:styleId="IntenseEmphasis">
    <w:name w:val="Intense Emphasis"/>
    <w:basedOn w:val="DefaultParagraphFont"/>
    <w:uiPriority w:val="21"/>
    <w:qFormat/>
    <w:rsid w:val="000D5A7A"/>
    <w:rPr>
      <w:i/>
      <w:iCs/>
      <w:color w:val="0F4761" w:themeColor="accent1" w:themeShade="BF"/>
    </w:rPr>
  </w:style>
  <w:style w:type="paragraph" w:styleId="IntenseQuote">
    <w:name w:val="Intense Quote"/>
    <w:basedOn w:val="Normal"/>
    <w:next w:val="Normal"/>
    <w:link w:val="IntenseQuoteChar"/>
    <w:uiPriority w:val="30"/>
    <w:qFormat/>
    <w:rsid w:val="000D5A7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0D5A7A"/>
    <w:rPr>
      <w:i/>
      <w:iCs/>
      <w:color w:val="0F4761" w:themeColor="accent1" w:themeShade="BF"/>
    </w:rPr>
  </w:style>
  <w:style w:type="character" w:styleId="IntenseReference">
    <w:name w:val="Intense Reference"/>
    <w:basedOn w:val="DefaultParagraphFont"/>
    <w:uiPriority w:val="32"/>
    <w:qFormat/>
    <w:rsid w:val="000D5A7A"/>
    <w:rPr>
      <w:b/>
      <w:bCs/>
      <w:smallCaps/>
      <w:color w:val="0F4761" w:themeColor="accent1" w:themeShade="BF"/>
      <w:spacing w:val="5"/>
    </w:rPr>
  </w:style>
  <w:style w:type="table" w:customStyle="1" w:styleId="Tabellenraster1">
    <w:name w:val="Tabellenraster1"/>
    <w:basedOn w:val="TableNormal"/>
    <w:next w:val="TableGrid"/>
    <w:uiPriority w:val="39"/>
    <w:rsid w:val="000D5A7A"/>
    <w:pPr>
      <w:spacing w:after="0" w:line="240" w:lineRule="auto"/>
    </w:pPr>
    <w:rPr>
      <w:rFonts w:ascii="Meta Serif Offc" w:hAnsi="Meta Serif Offc"/>
      <w:color w:val="FFFFFF"/>
      <w:kern w:val="0"/>
      <w:sz w:val="22"/>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0D5A7A"/>
    <w:rPr>
      <w:rFonts w:cs="Times New Roman"/>
      <w:position w:val="6"/>
      <w:sz w:val="16"/>
    </w:rPr>
  </w:style>
  <w:style w:type="paragraph" w:styleId="FootnoteText">
    <w:name w:val="footnote text"/>
    <w:basedOn w:val="Normal"/>
    <w:link w:val="FootnoteTextChar"/>
    <w:uiPriority w:val="99"/>
    <w:rsid w:val="000D5A7A"/>
    <w:pPr>
      <w:spacing w:after="0" w:line="240" w:lineRule="auto"/>
    </w:pPr>
    <w:rPr>
      <w:rFonts w:ascii="CG Times" w:eastAsia="Times New Roman" w:hAnsi="CG Times" w:cs="Times New Roman"/>
      <w:kern w:val="0"/>
      <w:sz w:val="20"/>
      <w:szCs w:val="20"/>
      <w:lang w:val="en-GB" w:eastAsia="es-ES"/>
      <w14:ligatures w14:val="none"/>
    </w:rPr>
  </w:style>
  <w:style w:type="character" w:customStyle="1" w:styleId="FootnoteTextChar">
    <w:name w:val="Footnote Text Char"/>
    <w:basedOn w:val="DefaultParagraphFont"/>
    <w:link w:val="FootnoteText"/>
    <w:uiPriority w:val="99"/>
    <w:rsid w:val="000D5A7A"/>
    <w:rPr>
      <w:rFonts w:ascii="CG Times" w:eastAsia="Times New Roman" w:hAnsi="CG Times" w:cs="Times New Roman"/>
      <w:kern w:val="0"/>
      <w:sz w:val="20"/>
      <w:szCs w:val="20"/>
      <w:lang w:val="en-GB" w:eastAsia="es-ES"/>
      <w14:ligatures w14:val="none"/>
    </w:rPr>
  </w:style>
  <w:style w:type="table" w:styleId="TableGrid">
    <w:name w:val="Table Grid"/>
    <w:basedOn w:val="TableNormal"/>
    <w:uiPriority w:val="39"/>
    <w:rsid w:val="000D5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55D2BEC01F440CA0B48335016DEADC"/>
        <w:category>
          <w:name w:val="General"/>
          <w:gallery w:val="placeholder"/>
        </w:category>
        <w:types>
          <w:type w:val="bbPlcHdr"/>
        </w:types>
        <w:behaviors>
          <w:behavior w:val="content"/>
        </w:behaviors>
        <w:guid w:val="{ACAE68A7-CAA1-4F5A-93B9-858BE808EDDF}"/>
      </w:docPartPr>
      <w:docPartBody>
        <w:p w:rsidR="00000000" w:rsidRDefault="00534392" w:rsidP="00534392">
          <w:pPr>
            <w:pStyle w:val="D855D2BEC01F440CA0B48335016DEADC"/>
          </w:pPr>
          <w:r w:rsidRPr="007A1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eta Serif Offc">
    <w:altName w:val="Cambria"/>
    <w:charset w:val="00"/>
    <w:family w:val="roman"/>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92"/>
    <w:rsid w:val="00252A92"/>
    <w:rsid w:val="00534392"/>
    <w:rsid w:val="00FF1F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4392"/>
    <w:rPr>
      <w:color w:val="808080"/>
    </w:rPr>
  </w:style>
  <w:style w:type="paragraph" w:customStyle="1" w:styleId="D855D2BEC01F440CA0B48335016DEADC">
    <w:name w:val="D855D2BEC01F440CA0B48335016DEADC"/>
    <w:rsid w:val="00534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806</Words>
  <Characters>4600</Characters>
  <Application>Microsoft Office Word</Application>
  <DocSecurity>0</DocSecurity>
  <Lines>38</Lines>
  <Paragraphs>10</Paragraphs>
  <ScaleCrop>false</ScaleCrop>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2026-05-06T10:09:00Z</dcterms:created>
  <dcterms:modified xsi:type="dcterms:W3CDTF">2026-05-06T10:09:00Z</dcterms:modified>
</cp:coreProperties>
</file>