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CBB7B">
      <w:pPr>
        <w:rPr>
          <w:rFonts w:hint="default" w:ascii="Arial" w:hAnsi="Arial" w:cs="Arial"/>
          <w:b w:val="0"/>
          <w:bCs w:val="0"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e</w:t>
      </w:r>
      <w:r>
        <w:rPr>
          <w:rFonts w:hint="default" w:ascii="Arial" w:hAnsi="Arial" w:cs="Arial"/>
          <w:b/>
          <w:bCs/>
          <w:sz w:val="24"/>
          <w:szCs w:val="24"/>
        </w:rPr>
        <w:t>Table</w:t>
      </w: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 xml:space="preserve"> 1</w:t>
      </w:r>
      <w:r>
        <w:rPr>
          <w:rFonts w:hint="default" w:ascii="Arial" w:hAnsi="Arial" w:cs="Arial"/>
          <w:b/>
          <w:bCs/>
          <w:sz w:val="24"/>
          <w:szCs w:val="24"/>
        </w:rPr>
        <w:t xml:space="preserve">. </w:t>
      </w:r>
      <w:r>
        <w:rPr>
          <w:rFonts w:hint="default" w:ascii="Arial" w:hAnsi="Arial" w:cs="Arial"/>
          <w:b w:val="0"/>
          <w:bCs w:val="0"/>
          <w:sz w:val="24"/>
          <w:szCs w:val="24"/>
        </w:rPr>
        <w:t>Summary of tools and scoring rules used for risk-of-bias and quality assessment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1810"/>
        <w:gridCol w:w="2526"/>
        <w:gridCol w:w="4150"/>
        <w:gridCol w:w="3435"/>
        <w:gridCol w:w="2791"/>
      </w:tblGrid>
      <w:tr w14:paraId="5CA17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tblHeader/>
          <w:jc w:val="center"/>
        </w:trPr>
        <w:tc>
          <w:tcPr>
            <w:tcW w:w="6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3F613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Study design</w:t>
            </w:r>
          </w:p>
        </w:tc>
        <w:tc>
          <w:tcPr>
            <w:tcW w:w="8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5D6F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T</w:t>
            </w: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ool</w:t>
            </w:r>
          </w:p>
        </w:tc>
        <w:tc>
          <w:tcPr>
            <w:tcW w:w="141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7268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Main domains / items assessed</w:t>
            </w:r>
          </w:p>
        </w:tc>
        <w:tc>
          <w:tcPr>
            <w:tcW w:w="116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54E7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Scoring of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domains / items</w:t>
            </w:r>
          </w:p>
        </w:tc>
        <w:tc>
          <w:tcPr>
            <w:tcW w:w="94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8FAC3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Overall judgement</w:t>
            </w:r>
          </w:p>
        </w:tc>
      </w:tr>
      <w:tr w14:paraId="6128D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6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54E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Randomized controlled trials (RCTs)</w:t>
            </w:r>
          </w:p>
        </w:tc>
        <w:tc>
          <w:tcPr>
            <w:tcW w:w="8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FBF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Cochrane Risk of Bias tool for randomized trials (RoB 2.0)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_Ref32246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[1]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  <w:tc>
          <w:tcPr>
            <w:tcW w:w="141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161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5 domains: (1) randomization process; (2) deviations from intended interventions; (3) missing outcome data; (4) measurement of outcomes; (5) selection of the reported result.</w:t>
            </w:r>
          </w:p>
        </w:tc>
        <w:tc>
          <w:tcPr>
            <w:tcW w:w="116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1A2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Each domain rated as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“low risk”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,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“some concerns”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, or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“high risk”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of bias.</w:t>
            </w:r>
          </w:p>
        </w:tc>
        <w:tc>
          <w:tcPr>
            <w:tcW w:w="94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AF4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 comprehensive overall risk-of-bias judgement combining domain ratings, classified as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low risk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,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some concerns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, or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high risk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of bias.</w:t>
            </w:r>
          </w:p>
        </w:tc>
      </w:tr>
      <w:tr w14:paraId="255BC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9A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Non-randomized controlled trials (nRCTs)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4D9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Risk Of Bias In Non-randomized Studies of Interventions (ROBINS-I-V2)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_Ref32749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[2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,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_Ref32752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3]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FA0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7 domains: (1) confounding bias; (2) selection bias; (3) misclassification of interventions; (4) deviations from intended interventions; (5) measurement bias in outcome assessment; (6) bias due to missing data; (7) selective reporting of results.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673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Each domain judged as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low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,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moderate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,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serious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, or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critical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risk of bias.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E3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Overall risk-of-bias judgement based on all domains, classified as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low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,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moderate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,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serious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, or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critical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risk of bias.</w:t>
            </w:r>
          </w:p>
        </w:tc>
      </w:tr>
      <w:tr w14:paraId="5E9D3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EE4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Cohort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studies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2A4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Newcastle–Ottawa Scale (NOS)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_Ref30847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[4]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71E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3 domains: (1) selection of study groups (0–4 stars); (2) comparability of groups (0–2 stars); (3) ascertainment of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outcome (0–3 stars).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ED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Each item contributes “stars”; total score ranges from 0 to 9 stars.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E3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High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: 7–9 stars;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moderate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: 4–6 stars;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low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: 0–3 stars.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_Ref30847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[4]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</w:tr>
      <w:tr w14:paraId="417D4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C92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Cross-sectional studies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76A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Joanna Briggs Institute critical appraisal checklist (JBI)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_Ref5055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[5]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EB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8 reporting items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: clarity of sample inclusion criteria; detailed description of subjects and settings; validity and reliability of exposure and outcome measurements; identification and management of confounding variables, etc.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_Ref32231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[6]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A51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Each item rated “yes”, “no”, “unclear”, or “not applicable”. For scoring: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yes = 1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, “no”/“unclear”/“not applicable” = 0. Percentage score = (sum of “yes” / total items) × 100%.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E1C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High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: &gt;80%;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moderate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: 60–80%;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low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: &lt;60%.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_Ref32757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[7]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</w:tr>
      <w:tr w14:paraId="65CAA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F5F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Economic evaluation studies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75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Consolidated Health Economic Evaluation Reporting Standards 2022 (CHEERS 2022)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_Ref5323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[8]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  <w:tc>
          <w:tcPr>
            <w:tcW w:w="14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A0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28 reporting items in 7 sections: Title, Abstract, Introduction, Methods, Results, Discussion, and Other relevant information.</w:t>
            </w:r>
          </w:p>
        </w:tc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F6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Each item: 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“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  <w:r>
              <w:rPr>
                <w:rStyle w:val="4"/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”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= 1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,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“partially”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= 0.5, 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“no”/“not applicable” = 0. Total score divided by 28, expressed as a percentage.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_Ref1462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[9]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18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High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: ≥75%;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moderate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: 50–74%;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low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: &lt;50%.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_Ref1462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[9]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</w:tr>
      <w:tr w14:paraId="0454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6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7C9E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Mixed-methods studies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46600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Mixed Methods Appraisal Tool, 2018 version (MMAT 2018)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_Ref1847 \r \h </w:instrTex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[10]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  <w:tc>
          <w:tcPr>
            <w:tcW w:w="141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465C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Tool divided into 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 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categories by design: mixed methods, qualitative, and quantitative (randomised controlled, nonrandomised, descriptive).</w:t>
            </w:r>
          </w:p>
        </w:tc>
        <w:tc>
          <w:tcPr>
            <w:tcW w:w="116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15DEA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For each applicable item: “yes”, “no”, or “can’t tell”. For scoring: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yes = 1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, “no”/“can’t tell” = 0. Percentage score = (sum of “yes” / number of applicable items) × 100%.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4A0D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default"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r>
              <w:rPr>
                <w:rStyle w:val="4"/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H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igh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: 100%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;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considerable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: 75–&lt;100%;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moderate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: 50–&lt;75%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; </w:t>
            </w:r>
            <w:r>
              <w:rPr>
                <w:rStyle w:val="4"/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low quality</w:t>
            </w:r>
            <w:r>
              <w:rPr>
                <w:rFonts w:hint="default" w:ascii="Arial" w:hAnsi="Arial" w:eastAsia="宋体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: 25–&lt;50%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lang w:val="en-US" w:eastAsia="zh-CN" w:bidi="ar"/>
              </w:rPr>
              <w:t>; very low quality: &lt;25%.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instrText xml:space="preserve"> REF _Ref4545 \r \h </w:instrTex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[11]</w:t>
            </w:r>
            <w:r>
              <w:rPr>
                <w:rFonts w:hint="default" w:ascii="Arial" w:hAnsi="Arial" w:cs="Arial"/>
                <w:b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fldChar w:fldCharType="end"/>
            </w:r>
          </w:p>
        </w:tc>
      </w:tr>
    </w:tbl>
    <w:p w14:paraId="7A86D974">
      <w:pPr>
        <w:rPr>
          <w:rFonts w:hint="default" w:ascii="Arial" w:hAnsi="Arial" w:cs="Arial"/>
          <w:sz w:val="20"/>
          <w:szCs w:val="20"/>
        </w:rPr>
      </w:pPr>
    </w:p>
    <w:p w14:paraId="42D807AF">
      <w:pPr>
        <w:rPr>
          <w:rFonts w:hint="eastAsia"/>
          <w:sz w:val="20"/>
          <w:szCs w:val="20"/>
        </w:rPr>
      </w:pPr>
    </w:p>
    <w:p w14:paraId="412CD197">
      <w:pPr>
        <w:rPr>
          <w:rFonts w:hint="eastAsia"/>
          <w:sz w:val="20"/>
          <w:szCs w:val="20"/>
        </w:rPr>
      </w:pPr>
    </w:p>
    <w:p w14:paraId="5A5E10BC">
      <w:pPr>
        <w:rPr>
          <w:rFonts w:hint="eastAsia"/>
          <w:sz w:val="20"/>
          <w:szCs w:val="20"/>
        </w:rPr>
      </w:pPr>
    </w:p>
    <w:p w14:paraId="3656AFAB">
      <w:pPr>
        <w:rPr>
          <w:rFonts w:hint="eastAsia"/>
          <w:sz w:val="20"/>
          <w:szCs w:val="20"/>
        </w:rPr>
      </w:pPr>
    </w:p>
    <w:p w14:paraId="446EC391">
      <w:pPr>
        <w:rPr>
          <w:rFonts w:hint="eastAsia"/>
          <w:sz w:val="20"/>
          <w:szCs w:val="20"/>
        </w:rPr>
      </w:pPr>
    </w:p>
    <w:p w14:paraId="3A7B31F6">
      <w:pPr>
        <w:rPr>
          <w:rFonts w:hint="eastAsia"/>
          <w:sz w:val="20"/>
          <w:szCs w:val="20"/>
        </w:rPr>
      </w:pPr>
      <w:bookmarkStart w:id="11" w:name="_GoBack"/>
      <w:bookmarkEnd w:id="11"/>
    </w:p>
    <w:p w14:paraId="5EC163A1"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References</w:t>
      </w:r>
    </w:p>
    <w:p w14:paraId="0587403A">
      <w:pPr>
        <w:numPr>
          <w:ilvl w:val="0"/>
          <w:numId w:val="1"/>
        </w:numPr>
        <w:jc w:val="left"/>
        <w:rPr>
          <w:rFonts w:hint="default" w:ascii="Arial" w:hAnsi="Arial" w:cs="Arial"/>
          <w:sz w:val="20"/>
          <w:szCs w:val="20"/>
        </w:rPr>
      </w:pPr>
      <w:bookmarkStart w:id="0" w:name="_Ref32246"/>
      <w:r>
        <w:rPr>
          <w:rFonts w:hint="default" w:ascii="Arial" w:hAnsi="Arial" w:cs="Arial"/>
          <w:sz w:val="20"/>
          <w:szCs w:val="20"/>
        </w:rPr>
        <w:t>Sterne JAC, Savović J, Page MJ, et al. RoB 2: a revised tool for assessing risk of bias in randomised trials. BMJ. 2019;366:l4898. Published 2019 Aug 28. doi:10.1136/bmj.l4898</w:t>
      </w:r>
      <w:bookmarkEnd w:id="0"/>
    </w:p>
    <w:p w14:paraId="6D391625">
      <w:pPr>
        <w:numPr>
          <w:ilvl w:val="0"/>
          <w:numId w:val="1"/>
        </w:numPr>
        <w:jc w:val="left"/>
        <w:rPr>
          <w:rFonts w:hint="default" w:ascii="Arial" w:hAnsi="Arial" w:cs="Arial"/>
          <w:sz w:val="20"/>
          <w:szCs w:val="20"/>
        </w:rPr>
      </w:pPr>
      <w:bookmarkStart w:id="1" w:name="_Ref32749"/>
      <w:r>
        <w:rPr>
          <w:rFonts w:hint="default" w:ascii="Arial" w:hAnsi="Arial" w:cs="Arial"/>
          <w:sz w:val="20"/>
          <w:szCs w:val="20"/>
        </w:rPr>
        <w:t>Higgins JP, Altman DG, Gøtzsche PC, et al. The Cochrane Collaboration's tool for assessing risk of bias in randomised trials. BMJ. 2011;343:d5928. Published 2011 Oct 18. doi:10.1136/bmj.d5928</w:t>
      </w:r>
      <w:bookmarkEnd w:id="1"/>
    </w:p>
    <w:p w14:paraId="7E4AA139">
      <w:pPr>
        <w:numPr>
          <w:ilvl w:val="0"/>
          <w:numId w:val="1"/>
        </w:numPr>
        <w:jc w:val="left"/>
        <w:rPr>
          <w:rFonts w:hint="default" w:ascii="Arial" w:hAnsi="Arial" w:cs="Arial"/>
          <w:sz w:val="20"/>
          <w:szCs w:val="20"/>
        </w:rPr>
      </w:pPr>
      <w:bookmarkStart w:id="2" w:name="_Ref32752"/>
      <w:r>
        <w:rPr>
          <w:rFonts w:hint="default" w:ascii="Arial" w:hAnsi="Arial" w:cs="Arial"/>
          <w:sz w:val="20"/>
          <w:szCs w:val="20"/>
        </w:rPr>
        <w:t>Sterne JA, Hernán MA, Reeves BC, et al. ROBINS-I: a tool for assessing risk of bias in non-randomised studies of interventions. BMJ. 2016;355:i4919. Published 2016 Oct 12. doi:10.1136/bmj.i4919</w:t>
      </w:r>
      <w:bookmarkEnd w:id="2"/>
    </w:p>
    <w:p w14:paraId="79C82D67">
      <w:pPr>
        <w:numPr>
          <w:ilvl w:val="0"/>
          <w:numId w:val="1"/>
        </w:numPr>
        <w:jc w:val="left"/>
        <w:rPr>
          <w:rFonts w:hint="default" w:ascii="Arial" w:hAnsi="Arial" w:cs="Arial"/>
          <w:sz w:val="20"/>
          <w:szCs w:val="20"/>
        </w:rPr>
      </w:pPr>
      <w:bookmarkStart w:id="3" w:name="_Ref30847"/>
      <w:r>
        <w:rPr>
          <w:rFonts w:hint="default" w:ascii="Arial" w:hAnsi="Arial" w:cs="Arial"/>
          <w:sz w:val="20"/>
          <w:szCs w:val="20"/>
        </w:rPr>
        <w:t>Wells G, Shea B, O’Connell D, et al. The Newcastle-Ottawa Scale (NOS) for assessing the quality of nonrandomised studies in meta-analyses. Ottawa Hospital Research Institute website. Published 2013. Accessed August</w:t>
      </w:r>
      <w:r>
        <w:rPr>
          <w:rFonts w:hint="default" w:ascii="Arial" w:hAnsi="Arial" w:eastAsia="Cambria" w:cs="Arial"/>
          <w:color w:val="1B1B1B"/>
          <w:sz w:val="20"/>
          <w:szCs w:val="20"/>
          <w:shd w:val="clear" w:color="auto" w:fill="FFFFFF"/>
        </w:rPr>
        <w:t xml:space="preserve"> 10, 2025</w:t>
      </w:r>
      <w:r>
        <w:rPr>
          <w:rFonts w:hint="default" w:ascii="Arial" w:hAnsi="Arial" w:cs="Arial"/>
          <w:sz w:val="20"/>
          <w:szCs w:val="20"/>
        </w:rPr>
        <w:t xml:space="preserve">. Available at: </w:t>
      </w:r>
      <w:r>
        <w:rPr>
          <w:rFonts w:hint="default" w:ascii="Arial" w:hAnsi="Arial" w:cs="Arial"/>
          <w:sz w:val="20"/>
          <w:szCs w:val="20"/>
        </w:rPr>
        <w:fldChar w:fldCharType="begin"/>
      </w:r>
      <w:r>
        <w:rPr>
          <w:rFonts w:hint="default" w:ascii="Arial" w:hAnsi="Arial" w:cs="Arial"/>
          <w:sz w:val="20"/>
          <w:szCs w:val="20"/>
        </w:rPr>
        <w:instrText xml:space="preserve"> HYPERLINK "http://www.ohri.ca/programs/clinical_epidemiology/oxford.asp" </w:instrText>
      </w:r>
      <w:r>
        <w:rPr>
          <w:rFonts w:hint="default" w:ascii="Arial" w:hAnsi="Arial" w:cs="Arial"/>
          <w:sz w:val="20"/>
          <w:szCs w:val="20"/>
        </w:rPr>
        <w:fldChar w:fldCharType="separate"/>
      </w:r>
      <w:r>
        <w:rPr>
          <w:rStyle w:val="5"/>
          <w:rFonts w:hint="default" w:ascii="Arial" w:hAnsi="Arial" w:cs="Arial"/>
          <w:sz w:val="20"/>
          <w:szCs w:val="20"/>
        </w:rPr>
        <w:t>http://www.ohri.ca/programs/clinical_epidemiology/oxford.asp</w:t>
      </w:r>
      <w:r>
        <w:rPr>
          <w:rFonts w:hint="default" w:ascii="Arial" w:hAnsi="Arial" w:cs="Arial"/>
          <w:sz w:val="20"/>
          <w:szCs w:val="20"/>
        </w:rPr>
        <w:fldChar w:fldCharType="end"/>
      </w:r>
      <w:bookmarkEnd w:id="3"/>
    </w:p>
    <w:p w14:paraId="0E145391">
      <w:pPr>
        <w:numPr>
          <w:ilvl w:val="0"/>
          <w:numId w:val="1"/>
        </w:numPr>
        <w:jc w:val="left"/>
        <w:rPr>
          <w:rFonts w:hint="default" w:ascii="Arial" w:hAnsi="Arial" w:cs="Arial"/>
          <w:sz w:val="20"/>
          <w:szCs w:val="20"/>
        </w:rPr>
      </w:pPr>
      <w:bookmarkStart w:id="4" w:name="_Ref5055"/>
      <w:r>
        <w:rPr>
          <w:rFonts w:hint="default" w:ascii="Arial" w:hAnsi="Arial" w:cs="Arial"/>
          <w:sz w:val="20"/>
          <w:szCs w:val="20"/>
        </w:rPr>
        <w:t>Joanna Briggs Institute. Joanna Briggs Institute Critical Appraisal Tools. Joanna Briggs Institute website. Published 2025. Accessed August</w:t>
      </w:r>
      <w:r>
        <w:rPr>
          <w:rFonts w:hint="default" w:ascii="Arial" w:hAnsi="Arial" w:eastAsia="Cambria" w:cs="Arial"/>
          <w:color w:val="1B1B1B"/>
          <w:sz w:val="20"/>
          <w:szCs w:val="20"/>
          <w:shd w:val="clear" w:color="auto" w:fill="FFFFFF"/>
        </w:rPr>
        <w:t xml:space="preserve"> </w:t>
      </w:r>
      <w:r>
        <w:rPr>
          <w:rFonts w:hint="default" w:ascii="Arial" w:hAnsi="Arial" w:cs="Arial"/>
          <w:color w:val="1B1B1B"/>
          <w:sz w:val="20"/>
          <w:szCs w:val="20"/>
          <w:shd w:val="clear" w:color="auto" w:fill="FFFFFF"/>
          <w:lang w:val="en-US" w:eastAsia="zh-CN"/>
        </w:rPr>
        <w:t>12</w:t>
      </w:r>
      <w:r>
        <w:rPr>
          <w:rFonts w:hint="default" w:ascii="Arial" w:hAnsi="Arial" w:cs="Arial"/>
          <w:sz w:val="20"/>
          <w:szCs w:val="20"/>
        </w:rPr>
        <w:t xml:space="preserve">, 2025. Available at: </w:t>
      </w:r>
      <w:r>
        <w:rPr>
          <w:rFonts w:hint="default" w:ascii="Arial" w:hAnsi="Arial" w:cs="Arial"/>
          <w:sz w:val="20"/>
          <w:szCs w:val="20"/>
        </w:rPr>
        <w:fldChar w:fldCharType="begin"/>
      </w:r>
      <w:r>
        <w:rPr>
          <w:rFonts w:hint="default" w:ascii="Arial" w:hAnsi="Arial" w:cs="Arial"/>
          <w:sz w:val="20"/>
          <w:szCs w:val="20"/>
        </w:rPr>
        <w:instrText xml:space="preserve"> HYPERLINK "https://jbi.global/critical-appraisal-tools" </w:instrText>
      </w:r>
      <w:r>
        <w:rPr>
          <w:rFonts w:hint="default" w:ascii="Arial" w:hAnsi="Arial" w:cs="Arial"/>
          <w:sz w:val="20"/>
          <w:szCs w:val="20"/>
        </w:rPr>
        <w:fldChar w:fldCharType="separate"/>
      </w:r>
      <w:r>
        <w:rPr>
          <w:rStyle w:val="6"/>
          <w:rFonts w:hint="default" w:ascii="Arial" w:hAnsi="Arial" w:cs="Arial"/>
          <w:sz w:val="20"/>
          <w:szCs w:val="20"/>
        </w:rPr>
        <w:t>https://jbi.global/critical-appraisal-tools</w:t>
      </w:r>
      <w:r>
        <w:rPr>
          <w:rFonts w:hint="default" w:ascii="Arial" w:hAnsi="Arial" w:cs="Arial"/>
          <w:sz w:val="20"/>
          <w:szCs w:val="20"/>
        </w:rPr>
        <w:fldChar w:fldCharType="end"/>
      </w:r>
      <w:bookmarkEnd w:id="4"/>
    </w:p>
    <w:p w14:paraId="5D311460">
      <w:pPr>
        <w:numPr>
          <w:ilvl w:val="0"/>
          <w:numId w:val="1"/>
        </w:numPr>
        <w:jc w:val="left"/>
        <w:rPr>
          <w:rFonts w:hint="default" w:ascii="Arial" w:hAnsi="Arial" w:cs="Arial"/>
          <w:sz w:val="20"/>
          <w:szCs w:val="20"/>
        </w:rPr>
      </w:pPr>
      <w:bookmarkStart w:id="5" w:name="_Ref32231"/>
      <w:r>
        <w:rPr>
          <w:rFonts w:hint="default" w:ascii="Arial" w:hAnsi="Arial" w:cs="Arial"/>
          <w:sz w:val="20"/>
          <w:szCs w:val="20"/>
        </w:rPr>
        <w:t>Moola S, Munn Z, Tufanaru C, et al. Systematic reviews of etiology and risk. In: Aromataris E, Munn Z, eds. JBI Manual for Evidence Synthesis. 2020. Accessed August</w:t>
      </w:r>
      <w:r>
        <w:rPr>
          <w:rFonts w:hint="default" w:ascii="Arial" w:hAnsi="Arial" w:eastAsia="Cambria" w:cs="Arial"/>
          <w:color w:val="1B1B1B"/>
          <w:sz w:val="20"/>
          <w:szCs w:val="20"/>
          <w:shd w:val="clear" w:color="auto" w:fill="FFFFFF"/>
        </w:rPr>
        <w:t xml:space="preserve"> 1</w:t>
      </w:r>
      <w:r>
        <w:rPr>
          <w:rFonts w:hint="default" w:ascii="Arial" w:hAnsi="Arial" w:cs="Arial"/>
          <w:color w:val="1B1B1B"/>
          <w:sz w:val="20"/>
          <w:szCs w:val="20"/>
          <w:shd w:val="clear" w:color="auto" w:fill="FFFFFF"/>
          <w:lang w:val="en-US" w:eastAsia="zh-CN"/>
        </w:rPr>
        <w:t>2</w:t>
      </w:r>
      <w:r>
        <w:rPr>
          <w:rFonts w:hint="default" w:ascii="Arial" w:hAnsi="Arial" w:cs="Arial"/>
          <w:sz w:val="20"/>
          <w:szCs w:val="20"/>
        </w:rPr>
        <w:t xml:space="preserve">, 2025. Available at: </w:t>
      </w:r>
      <w:r>
        <w:rPr>
          <w:rFonts w:hint="default" w:ascii="Arial" w:hAnsi="Arial" w:cs="Arial"/>
          <w:sz w:val="20"/>
          <w:szCs w:val="20"/>
        </w:rPr>
        <w:fldChar w:fldCharType="begin"/>
      </w:r>
      <w:r>
        <w:rPr>
          <w:rFonts w:hint="default" w:ascii="Arial" w:hAnsi="Arial" w:cs="Arial"/>
          <w:sz w:val="20"/>
          <w:szCs w:val="20"/>
        </w:rPr>
        <w:instrText xml:space="preserve"> HYPERLINK "https://synthesismanual.jbi.global" </w:instrText>
      </w:r>
      <w:r>
        <w:rPr>
          <w:rFonts w:hint="default" w:ascii="Arial" w:hAnsi="Arial" w:cs="Arial"/>
          <w:sz w:val="20"/>
          <w:szCs w:val="20"/>
        </w:rPr>
        <w:fldChar w:fldCharType="separate"/>
      </w:r>
      <w:r>
        <w:rPr>
          <w:rStyle w:val="6"/>
          <w:rFonts w:hint="default" w:ascii="Arial" w:hAnsi="Arial" w:cs="Arial"/>
          <w:sz w:val="20"/>
          <w:szCs w:val="20"/>
        </w:rPr>
        <w:t>https://synthesismanual.jbi.global</w:t>
      </w:r>
      <w:r>
        <w:rPr>
          <w:rFonts w:hint="default" w:ascii="Arial" w:hAnsi="Arial" w:cs="Arial"/>
          <w:sz w:val="20"/>
          <w:szCs w:val="20"/>
        </w:rPr>
        <w:fldChar w:fldCharType="end"/>
      </w:r>
      <w:bookmarkEnd w:id="5"/>
    </w:p>
    <w:p w14:paraId="7232EC9F">
      <w:pPr>
        <w:numPr>
          <w:ilvl w:val="0"/>
          <w:numId w:val="1"/>
        </w:numPr>
        <w:jc w:val="left"/>
        <w:rPr>
          <w:rFonts w:hint="default" w:ascii="Arial" w:hAnsi="Arial" w:cs="Arial"/>
          <w:sz w:val="20"/>
          <w:szCs w:val="20"/>
        </w:rPr>
      </w:pPr>
      <w:bookmarkStart w:id="6" w:name="_Ref32757"/>
      <w:r>
        <w:rPr>
          <w:rFonts w:hint="default" w:ascii="Arial" w:hAnsi="Arial" w:cs="Arial"/>
          <w:sz w:val="20"/>
          <w:szCs w:val="20"/>
        </w:rPr>
        <w:t>Fauziah H.F.N., Rochmawati E., Padela A. A systematic review and meta-analysis of sleep hygiene implementation and its effect on sleep quality and fatigue in patients undergoing hemodialysis. J Ners. 2024;19(4):520–530. doi: 10.20473/jn.v19i4.63368.</w:t>
      </w:r>
      <w:bookmarkEnd w:id="6"/>
    </w:p>
    <w:p w14:paraId="211D80AA">
      <w:pPr>
        <w:numPr>
          <w:ilvl w:val="0"/>
          <w:numId w:val="1"/>
        </w:numPr>
        <w:jc w:val="left"/>
        <w:rPr>
          <w:rFonts w:hint="default" w:ascii="Arial" w:hAnsi="Arial" w:cs="Arial"/>
          <w:sz w:val="20"/>
          <w:szCs w:val="20"/>
        </w:rPr>
      </w:pPr>
      <w:bookmarkStart w:id="7" w:name="_Ref5323"/>
      <w:r>
        <w:rPr>
          <w:rFonts w:hint="default" w:ascii="Arial" w:hAnsi="Arial" w:cs="Arial"/>
          <w:sz w:val="20"/>
          <w:szCs w:val="20"/>
        </w:rPr>
        <w:t>Husereau D, Drummond M, Augustovski F, et al. Correction to: Consolidated Health Economic Evaluation Reporting Standards 2022 (CHEERS 2022) Statement: Updated Reporting Guidance for Health Economic Evaluations. Appl Health Econ Health Policy. 2022;20(5):781-782. doi:10.1007/s40258-022-00743-y</w:t>
      </w:r>
      <w:bookmarkEnd w:id="7"/>
    </w:p>
    <w:p w14:paraId="4319A0DF">
      <w:pPr>
        <w:numPr>
          <w:ilvl w:val="0"/>
          <w:numId w:val="1"/>
        </w:numPr>
        <w:jc w:val="left"/>
        <w:rPr>
          <w:rFonts w:hint="default" w:ascii="Arial" w:hAnsi="Arial" w:cs="Arial"/>
          <w:sz w:val="20"/>
          <w:szCs w:val="20"/>
        </w:rPr>
      </w:pPr>
      <w:bookmarkStart w:id="8" w:name="_Ref1462"/>
      <w:r>
        <w:rPr>
          <w:rFonts w:hint="default" w:ascii="Arial" w:hAnsi="Arial" w:cs="Arial"/>
          <w:sz w:val="20"/>
          <w:szCs w:val="20"/>
        </w:rPr>
        <w:t>Yu G, Tong S, Liu J, et al. A systematic review of cost‑effectiveness analyses of sequential treatment for osteoporosis. Osteoporos Int. 2023;34(4):641-658. doi:10.1007/s00198-022-06626-1</w:t>
      </w:r>
      <w:bookmarkEnd w:id="8"/>
    </w:p>
    <w:p w14:paraId="26BA4836">
      <w:pPr>
        <w:numPr>
          <w:ilvl w:val="0"/>
          <w:numId w:val="1"/>
        </w:numPr>
        <w:jc w:val="left"/>
        <w:rPr>
          <w:rFonts w:hint="default" w:ascii="Arial" w:hAnsi="Arial" w:cs="Arial"/>
          <w:sz w:val="20"/>
          <w:szCs w:val="20"/>
        </w:rPr>
      </w:pPr>
      <w:bookmarkStart w:id="9" w:name="_Ref1847"/>
      <w:r>
        <w:rPr>
          <w:rFonts w:hint="default" w:ascii="Arial" w:hAnsi="Arial" w:cs="Arial"/>
          <w:sz w:val="20"/>
          <w:szCs w:val="20"/>
        </w:rPr>
        <w:t>Hong QN, Fàbregues S, Bartlett G, et al. The Mixed Methods Appraisal Tool (MMAT) version 2018 for information professionals and researchers. Educ Inf. 2018;34(4):285-291. doi:10.3233/EFI-180221</w:t>
      </w:r>
      <w:bookmarkEnd w:id="9"/>
    </w:p>
    <w:p w14:paraId="0F1607E9">
      <w:pPr>
        <w:numPr>
          <w:ilvl w:val="0"/>
          <w:numId w:val="1"/>
        </w:numPr>
        <w:jc w:val="left"/>
        <w:rPr>
          <w:rFonts w:hint="default" w:ascii="Arial" w:hAnsi="Arial" w:cs="Arial"/>
          <w:sz w:val="20"/>
          <w:szCs w:val="20"/>
        </w:rPr>
      </w:pPr>
      <w:bookmarkStart w:id="10" w:name="_Ref4545"/>
      <w:r>
        <w:rPr>
          <w:rFonts w:hint="default" w:ascii="Arial" w:hAnsi="Arial" w:cs="Arial"/>
          <w:sz w:val="20"/>
          <w:szCs w:val="20"/>
        </w:rPr>
        <w:t>Hedima EW, Okoro RN. Primary health care roles of community pharmacists in low- and middle-income countries: a mixed methods systematic review. BMC Health Serv Res. 2025;25(1):1269. Published 2025 Oct 1. doi:10.1186/s12913-025-13387-0</w:t>
      </w:r>
      <w:bookmarkEnd w:id="10"/>
    </w:p>
    <w:sectPr>
      <w:pgSz w:w="16838" w:h="11906" w:orient="landscape"/>
      <w:pgMar w:top="1083" w:right="1080" w:bottom="108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9AB35"/>
    <w:multiLevelType w:val="singleLevel"/>
    <w:tmpl w:val="86B9AB35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122DF"/>
    <w:rsid w:val="34492501"/>
    <w:rsid w:val="5A385F25"/>
    <w:rsid w:val="5E9122DF"/>
    <w:rsid w:val="60FB311E"/>
    <w:rsid w:val="7319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</w:rPr>
  </w:style>
  <w:style w:type="character" w:styleId="5">
    <w:name w:val="FollowedHyperlink"/>
    <w:uiPriority w:val="0"/>
    <w:rPr>
      <w:color w:val="800080"/>
      <w:u w:val="single"/>
    </w:r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751</Words>
  <Characters>4778</Characters>
  <Lines>0</Lines>
  <Paragraphs>0</Paragraphs>
  <TotalTime>4</TotalTime>
  <ScaleCrop>false</ScaleCrop>
  <LinksUpToDate>false</LinksUpToDate>
  <CharactersWithSpaces>5481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2025-11-28T08:21:00Z</dcterms:created>
  <dc:creator>.</dc:creator>
  <cp:lastModifiedBy>.</cp:lastModifiedBy>
  <dcterms:modified xsi:type="dcterms:W3CDTF">2025-12-24T09:42:18Z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FFA1858E340B42ADA9440B7CCF9FAC9C_11</vt:lpwstr>
  </property>
  <property fmtid="{D5CDD505-2E9C-101B-9397-08002B2CF9AE}" pid="4" name="KSOTemplateDocerSaveRecord">
    <vt:lpwstr>eyJoZGlkIjoiYTZhZjUxN2ZmMDI0YmUzMmQ2NmIyZGVlYmUwMjc2ZGYiLCJ1c2VySWQiOiIyNjY3MDY0MDIifQ==</vt:lpwstr>
  </property>
</Properties>
</file>