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0E4" w:rsidRDefault="006C10E4" w:rsidP="006C10E4">
      <w:pPr>
        <w:jc w:val="center"/>
        <w:rPr>
          <w:rFonts w:ascii="Times New Roman" w:eastAsia="Times New Roman" w:hAnsi="Times New Roman" w:cs="Times New Roman"/>
          <w:sz w:val="32"/>
          <w:szCs w:val="14"/>
        </w:rPr>
      </w:pPr>
      <w:r w:rsidRPr="00423BF0">
        <w:rPr>
          <w:rFonts w:ascii="Times New Roman" w:eastAsia="Times New Roman" w:hAnsi="Times New Roman" w:cs="Times New Roman"/>
          <w:sz w:val="32"/>
          <w:szCs w:val="14"/>
        </w:rPr>
        <w:t>Supporting Information</w:t>
      </w:r>
    </w:p>
    <w:p w:rsidR="006C10E4" w:rsidRPr="00BA2865" w:rsidRDefault="006C10E4" w:rsidP="006C10E4">
      <w:pPr>
        <w:numPr>
          <w:ilvl w:val="2"/>
          <w:numId w:val="0"/>
        </w:numPr>
        <w:spacing w:line="259" w:lineRule="auto"/>
        <w:jc w:val="center"/>
        <w:rPr>
          <w:rFonts w:ascii="Times New Roman" w:eastAsia="Times New Roman" w:hAnsi="Times New Roman" w:cs="Times New Roman"/>
          <w:b/>
          <w:sz w:val="40"/>
          <w:szCs w:val="18"/>
        </w:rPr>
      </w:pPr>
      <w:r w:rsidRPr="00BA2865">
        <w:rPr>
          <w:rFonts w:ascii="Times New Roman" w:eastAsia="Times New Roman" w:hAnsi="Times New Roman" w:cs="Times New Roman"/>
          <w:b/>
          <w:sz w:val="40"/>
          <w:szCs w:val="18"/>
        </w:rPr>
        <w:t>Plasma-</w:t>
      </w:r>
      <w:r>
        <w:rPr>
          <w:rFonts w:ascii="Times New Roman" w:eastAsia="Times New Roman" w:hAnsi="Times New Roman" w:cs="Times New Roman"/>
          <w:b/>
          <w:sz w:val="40"/>
          <w:szCs w:val="18"/>
        </w:rPr>
        <w:t>assisted T</w:t>
      </w:r>
      <w:r w:rsidRPr="00BA2865">
        <w:rPr>
          <w:rFonts w:ascii="Times New Roman" w:eastAsia="Times New Roman" w:hAnsi="Times New Roman" w:cs="Times New Roman"/>
          <w:b/>
          <w:sz w:val="40"/>
          <w:szCs w:val="18"/>
        </w:rPr>
        <w:t>hree-</w:t>
      </w:r>
      <w:r>
        <w:rPr>
          <w:rFonts w:ascii="Times New Roman" w:eastAsia="Times New Roman" w:hAnsi="Times New Roman" w:cs="Times New Roman"/>
          <w:b/>
          <w:sz w:val="40"/>
          <w:szCs w:val="18"/>
        </w:rPr>
        <w:t>Dimensional Light</w:t>
      </w:r>
      <w:r w:rsidRPr="00BA2865">
        <w:rPr>
          <w:rFonts w:ascii="Times New Roman" w:eastAsia="Times New Roman" w:hAnsi="Times New Roman" w:cs="Times New Roman"/>
          <w:b/>
          <w:sz w:val="40"/>
          <w:szCs w:val="18"/>
        </w:rPr>
        <w:t>scribe Graphene as</w:t>
      </w:r>
      <w:r>
        <w:rPr>
          <w:rFonts w:ascii="Times New Roman" w:eastAsia="Times New Roman" w:hAnsi="Times New Roman" w:cs="Times New Roman"/>
          <w:b/>
          <w:sz w:val="40"/>
          <w:szCs w:val="18"/>
        </w:rPr>
        <w:t xml:space="preserve"> High P</w:t>
      </w:r>
      <w:r w:rsidRPr="00BA2865">
        <w:rPr>
          <w:rFonts w:ascii="Times New Roman" w:eastAsia="Times New Roman" w:hAnsi="Times New Roman" w:cs="Times New Roman"/>
          <w:b/>
          <w:sz w:val="40"/>
          <w:szCs w:val="18"/>
        </w:rPr>
        <w:t>erformance Supercapacitors</w:t>
      </w:r>
    </w:p>
    <w:p w:rsidR="006C10E4" w:rsidRPr="00C11F1B" w:rsidRDefault="006C10E4" w:rsidP="006C10E4">
      <w:pPr>
        <w:jc w:val="center"/>
        <w:rPr>
          <w:rFonts w:asciiTheme="majorBidi" w:hAnsiTheme="majorBidi" w:cstheme="majorBidi"/>
        </w:rPr>
      </w:pPr>
      <w:r w:rsidRPr="00BA2865">
        <w:rPr>
          <w:rFonts w:asciiTheme="majorBidi" w:hAnsiTheme="majorBidi" w:cstheme="majorBidi"/>
          <w:sz w:val="24"/>
          <w:szCs w:val="24"/>
        </w:rPr>
        <w:t>Naser Namdar</w:t>
      </w:r>
      <w:r w:rsidRPr="00BA286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11F1B">
        <w:rPr>
          <w:rFonts w:asciiTheme="majorBidi" w:hAnsiTheme="majorBidi" w:cstheme="majorBidi"/>
        </w:rPr>
        <w:t xml:space="preserve">, </w:t>
      </w:r>
      <w:r w:rsidRPr="00BA2865">
        <w:rPr>
          <w:rFonts w:asciiTheme="majorBidi" w:hAnsiTheme="majorBidi" w:cstheme="majorBidi"/>
          <w:sz w:val="24"/>
          <w:szCs w:val="24"/>
        </w:rPr>
        <w:t>Foad Ghasemi</w:t>
      </w:r>
      <w:r w:rsidRPr="00BA2865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BA2865">
        <w:rPr>
          <w:rFonts w:asciiTheme="majorBidi" w:hAnsiTheme="majorBidi" w:cstheme="majorBidi"/>
          <w:sz w:val="24"/>
          <w:szCs w:val="24"/>
        </w:rPr>
        <w:t>*, Zeinab Sanaee</w:t>
      </w:r>
      <w:r w:rsidRPr="00BA2865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BA2865">
        <w:rPr>
          <w:rFonts w:asciiTheme="majorBidi" w:hAnsiTheme="majorBidi" w:cstheme="majorBidi"/>
          <w:sz w:val="24"/>
          <w:szCs w:val="24"/>
        </w:rPr>
        <w:t>*</w:t>
      </w:r>
    </w:p>
    <w:p w:rsidR="006C10E4" w:rsidRPr="00BA2865" w:rsidRDefault="006C10E4" w:rsidP="006C10E4">
      <w:pPr>
        <w:rPr>
          <w:rFonts w:asciiTheme="majorBidi" w:hAnsiTheme="majorBidi" w:cstheme="majorBidi"/>
          <w:sz w:val="24"/>
          <w:szCs w:val="24"/>
        </w:rPr>
      </w:pPr>
      <w:r w:rsidRPr="00C11F1B">
        <w:rPr>
          <w:rFonts w:asciiTheme="majorBidi" w:hAnsiTheme="majorBidi" w:cstheme="majorBidi"/>
          <w:vertAlign w:val="superscript"/>
        </w:rPr>
        <w:t>1</w:t>
      </w:r>
      <w:r w:rsidRPr="00BA2865">
        <w:rPr>
          <w:rFonts w:asciiTheme="majorBidi" w:hAnsiTheme="majorBidi" w:cstheme="majorBidi"/>
          <w:sz w:val="24"/>
          <w:szCs w:val="24"/>
        </w:rPr>
        <w:t>Nano-fabricated Energy Devices Laboratory, School of Electrical and Com</w:t>
      </w:r>
      <w:bookmarkStart w:id="0" w:name="_GoBack"/>
      <w:bookmarkEnd w:id="0"/>
      <w:r w:rsidRPr="00BA2865">
        <w:rPr>
          <w:rFonts w:asciiTheme="majorBidi" w:hAnsiTheme="majorBidi" w:cstheme="majorBidi"/>
          <w:sz w:val="24"/>
          <w:szCs w:val="24"/>
        </w:rPr>
        <w:t>puter Engineering,</w:t>
      </w:r>
      <w:r w:rsidR="002A2F1D">
        <w:rPr>
          <w:rFonts w:asciiTheme="majorBidi" w:hAnsiTheme="majorBidi" w:cstheme="majorBidi"/>
          <w:sz w:val="24"/>
          <w:szCs w:val="24"/>
        </w:rPr>
        <w:t xml:space="preserve"> College of Engineering,</w:t>
      </w:r>
      <w:r w:rsidRPr="00BA2865">
        <w:rPr>
          <w:rFonts w:asciiTheme="majorBidi" w:hAnsiTheme="majorBidi" w:cstheme="majorBidi"/>
          <w:sz w:val="24"/>
          <w:szCs w:val="24"/>
        </w:rPr>
        <w:t xml:space="preserve"> University of Tehran, Tehran, Iran.</w:t>
      </w:r>
    </w:p>
    <w:p w:rsidR="006C10E4" w:rsidRPr="00BA2865" w:rsidRDefault="006C10E4" w:rsidP="006C10E4">
      <w:pPr>
        <w:rPr>
          <w:rFonts w:asciiTheme="majorBidi" w:hAnsiTheme="majorBidi" w:cstheme="majorBidi"/>
          <w:sz w:val="24"/>
          <w:szCs w:val="24"/>
        </w:rPr>
      </w:pPr>
      <w:r w:rsidRPr="00C11F1B">
        <w:rPr>
          <w:rFonts w:asciiTheme="majorBidi" w:hAnsiTheme="majorBidi" w:cstheme="majorBidi"/>
          <w:vertAlign w:val="superscript"/>
        </w:rPr>
        <w:t>2</w:t>
      </w:r>
      <w:r w:rsidRPr="00BA2865">
        <w:rPr>
          <w:rFonts w:asciiTheme="majorBidi" w:hAnsiTheme="majorBidi" w:cstheme="majorBidi"/>
          <w:sz w:val="24"/>
          <w:szCs w:val="24"/>
        </w:rPr>
        <w:t>Nanoscale Physics Device Lab (NPDL), Department of Physics, University of Kurdistan, Sanandaj, Iran.</w:t>
      </w:r>
    </w:p>
    <w:p w:rsidR="006C10E4" w:rsidRDefault="006C10E4" w:rsidP="006C10E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</w:t>
      </w:r>
      <w:r w:rsidRPr="00C11F1B"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Corresponding authors: </w:t>
      </w:r>
      <w:hyperlink r:id="rId4" w:history="1">
        <w:r w:rsidRPr="00120028">
          <w:rPr>
            <w:rStyle w:val="Hyperlink"/>
            <w:rFonts w:asciiTheme="majorBidi" w:hAnsiTheme="majorBidi" w:cstheme="majorBidi"/>
            <w:sz w:val="24"/>
            <w:szCs w:val="24"/>
          </w:rPr>
          <w:t>F.Ghasemi@uok.ac.ir</w:t>
        </w:r>
      </w:hyperlink>
      <w:r>
        <w:rPr>
          <w:rFonts w:asciiTheme="majorBidi" w:hAnsiTheme="majorBidi" w:cstheme="majorBidi"/>
          <w:sz w:val="24"/>
          <w:szCs w:val="24"/>
        </w:rPr>
        <w:t xml:space="preserve">, </w:t>
      </w:r>
      <w:hyperlink r:id="rId5" w:history="1">
        <w:r w:rsidRPr="00120028">
          <w:rPr>
            <w:rStyle w:val="Hyperlink"/>
            <w:rFonts w:asciiTheme="majorBidi" w:hAnsiTheme="majorBidi" w:cstheme="majorBidi"/>
            <w:sz w:val="24"/>
            <w:szCs w:val="24"/>
          </w:rPr>
          <w:t>Z.Sanaee@ut.ac.ir</w:t>
        </w:r>
      </w:hyperlink>
    </w:p>
    <w:p w:rsidR="00B07A80" w:rsidRDefault="00B07A80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lang w:bidi="fa-IR"/>
        </w:rPr>
      </w:pPr>
    </w:p>
    <w:p w:rsidR="006C10E4" w:rsidRDefault="006C10E4" w:rsidP="006C10E4">
      <w:pPr>
        <w:bidi/>
        <w:jc w:val="center"/>
        <w:rPr>
          <w:noProof/>
          <w:rtl/>
          <w:lang w:bidi="fa-IR"/>
        </w:rPr>
      </w:pPr>
    </w:p>
    <w:p w:rsidR="006C10E4" w:rsidRPr="006C10E4" w:rsidRDefault="006C10E4" w:rsidP="002D6588">
      <w:pPr>
        <w:spacing w:after="16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6C10E4">
        <w:rPr>
          <w:rFonts w:asciiTheme="majorBidi" w:hAnsiTheme="majorBidi" w:cstheme="majorBidi"/>
          <w:b/>
          <w:bCs/>
          <w:sz w:val="24"/>
          <w:szCs w:val="24"/>
          <w:lang w:bidi="fa-IR"/>
        </w:rPr>
        <w:lastRenderedPageBreak/>
        <w:t>Capacitance calculation</w:t>
      </w:r>
    </w:p>
    <w:p w:rsidR="002D6588" w:rsidRPr="002D6588" w:rsidRDefault="002D6588" w:rsidP="002D6588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2D6588">
        <w:rPr>
          <w:rFonts w:asciiTheme="majorBidi" w:hAnsiTheme="majorBidi" w:cstheme="majorBidi"/>
          <w:sz w:val="24"/>
          <w:szCs w:val="24"/>
          <w:lang w:bidi="fa-IR"/>
        </w:rPr>
        <w:t xml:space="preserve">The process of calculating the </w:t>
      </w:r>
      <w:r>
        <w:rPr>
          <w:rFonts w:asciiTheme="majorBidi" w:hAnsiTheme="majorBidi" w:cstheme="majorBidi"/>
          <w:sz w:val="24"/>
          <w:szCs w:val="24"/>
          <w:lang w:bidi="fa-IR"/>
        </w:rPr>
        <w:t>specific capacitance</w:t>
      </w:r>
      <w:r w:rsidRPr="002D6588">
        <w:rPr>
          <w:rFonts w:asciiTheme="majorBidi" w:hAnsiTheme="majorBidi" w:cstheme="majorBidi"/>
          <w:sz w:val="24"/>
          <w:szCs w:val="24"/>
          <w:lang w:bidi="fa-IR"/>
        </w:rPr>
        <w:t xml:space="preserve"> of </w:t>
      </w:r>
      <w:r>
        <w:rPr>
          <w:rFonts w:asciiTheme="majorBidi" w:hAnsiTheme="majorBidi" w:cstheme="majorBidi"/>
          <w:sz w:val="24"/>
          <w:szCs w:val="24"/>
          <w:lang w:bidi="fa-IR"/>
        </w:rPr>
        <w:t>the fabricated</w:t>
      </w:r>
      <w:r w:rsidRPr="002D6588">
        <w:rPr>
          <w:rFonts w:asciiTheme="majorBidi" w:hAnsiTheme="majorBidi" w:cstheme="majorBidi"/>
          <w:sz w:val="24"/>
          <w:szCs w:val="24"/>
          <w:lang w:bidi="fa-IR"/>
        </w:rPr>
        <w:t xml:space="preserve"> supercapacitors as well as normalizing the capacitance per unit area and eff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ective volume </w:t>
      </w:r>
      <w:proofErr w:type="gramStart"/>
      <w:r>
        <w:rPr>
          <w:rFonts w:asciiTheme="majorBidi" w:hAnsiTheme="majorBidi" w:cstheme="majorBidi"/>
          <w:sz w:val="24"/>
          <w:szCs w:val="24"/>
          <w:lang w:bidi="fa-IR"/>
        </w:rPr>
        <w:t>is discussed</w:t>
      </w:r>
      <w:proofErr w:type="gramEnd"/>
      <w:r>
        <w:rPr>
          <w:rFonts w:asciiTheme="majorBidi" w:hAnsiTheme="majorBidi" w:cstheme="majorBidi"/>
          <w:sz w:val="24"/>
          <w:szCs w:val="24"/>
          <w:lang w:bidi="fa-IR"/>
        </w:rPr>
        <w:t xml:space="preserve"> here:</w:t>
      </w:r>
    </w:p>
    <w:p w:rsidR="002D6588" w:rsidRDefault="00611335" w:rsidP="002D6588">
      <w:pPr>
        <w:keepNext/>
        <w:bidi/>
        <w:jc w:val="center"/>
      </w:pPr>
      <w:r>
        <w:rPr>
          <w:noProof/>
        </w:rPr>
        <w:drawing>
          <wp:inline distT="0" distB="0" distL="0" distR="0" wp14:anchorId="33F1917E" wp14:editId="55675461">
            <wp:extent cx="3479307" cy="2178657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0312" cy="218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335" w:rsidRPr="002D6588" w:rsidRDefault="002D6588" w:rsidP="006C10E4">
      <w:pPr>
        <w:spacing w:after="160" w:line="360" w:lineRule="auto"/>
        <w:jc w:val="center"/>
        <w:rPr>
          <w:rFonts w:asciiTheme="majorBidi" w:hAnsiTheme="majorBidi" w:cstheme="majorBidi"/>
          <w:rtl/>
          <w:lang w:bidi="fa-IR"/>
        </w:rPr>
      </w:pPr>
      <w:r w:rsidRPr="006C10E4">
        <w:rPr>
          <w:rFonts w:asciiTheme="majorBidi" w:hAnsiTheme="majorBidi" w:cstheme="majorBidi"/>
          <w:b/>
          <w:bCs/>
          <w:lang w:bidi="fa-IR"/>
        </w:rPr>
        <w:t xml:space="preserve">Figure </w:t>
      </w:r>
      <w:r w:rsidR="00E97680" w:rsidRPr="006C10E4">
        <w:rPr>
          <w:rFonts w:asciiTheme="majorBidi" w:hAnsiTheme="majorBidi" w:cstheme="majorBidi"/>
          <w:b/>
          <w:bCs/>
          <w:lang w:bidi="fa-IR"/>
        </w:rPr>
        <w:t>S</w:t>
      </w:r>
      <w:r w:rsidRPr="006C10E4">
        <w:rPr>
          <w:rFonts w:asciiTheme="majorBidi" w:hAnsiTheme="majorBidi" w:cstheme="majorBidi"/>
          <w:b/>
          <w:bCs/>
          <w:lang w:bidi="fa-IR"/>
        </w:rPr>
        <w:t>1</w:t>
      </w:r>
      <w:r>
        <w:rPr>
          <w:rFonts w:asciiTheme="majorBidi" w:hAnsiTheme="majorBidi" w:cstheme="majorBidi"/>
          <w:lang w:bidi="fa-IR"/>
        </w:rPr>
        <w:t>.</w:t>
      </w:r>
      <w:r w:rsidRPr="002D6588">
        <w:rPr>
          <w:rFonts w:asciiTheme="majorBidi" w:hAnsiTheme="majorBidi" w:cstheme="majorBidi"/>
          <w:lang w:bidi="fa-IR"/>
        </w:rPr>
        <w:t xml:space="preserve"> Effective slope of the discharge </w:t>
      </w:r>
      <w:r>
        <w:rPr>
          <w:rFonts w:asciiTheme="majorBidi" w:hAnsiTheme="majorBidi" w:cstheme="majorBidi"/>
          <w:lang w:bidi="fa-IR"/>
        </w:rPr>
        <w:t>curve to calculate the capacitance.</w:t>
      </w:r>
    </w:p>
    <w:p w:rsidR="007631D0" w:rsidRDefault="007631D0" w:rsidP="007631D0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The capacity of the supercacitors</w:t>
      </w:r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gramStart"/>
      <w:r w:rsidRPr="007631D0">
        <w:rPr>
          <w:rFonts w:asciiTheme="majorBidi" w:hAnsiTheme="majorBidi" w:cstheme="majorBidi"/>
          <w:sz w:val="24"/>
          <w:szCs w:val="24"/>
          <w:lang w:bidi="fa-IR"/>
        </w:rPr>
        <w:t>is calculated</w:t>
      </w:r>
      <w:proofErr w:type="gramEnd"/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 mainly through charge and discharge </w:t>
      </w:r>
      <w:r>
        <w:rPr>
          <w:rFonts w:asciiTheme="majorBidi" w:hAnsiTheme="majorBidi" w:cstheme="majorBidi"/>
          <w:sz w:val="24"/>
          <w:szCs w:val="24"/>
          <w:lang w:bidi="fa-IR"/>
        </w:rPr>
        <w:t>curves</w:t>
      </w:r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. For this purpose, the supercapacitor should be tested for significant consecutive cycles (1000 cycles) </w:t>
      </w:r>
      <w:r>
        <w:rPr>
          <w:rFonts w:asciiTheme="majorBidi" w:hAnsiTheme="majorBidi" w:cstheme="majorBidi"/>
          <w:sz w:val="24"/>
          <w:szCs w:val="24"/>
          <w:lang w:bidi="fa-IR"/>
        </w:rPr>
        <w:t>of charge/</w:t>
      </w:r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discharge to ensure the reproducibility and stability of the output </w:t>
      </w:r>
      <w:proofErr w:type="gramStart"/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data </w:t>
      </w:r>
      <w:r>
        <w:rPr>
          <w:rFonts w:asciiTheme="majorBidi" w:hAnsiTheme="majorBidi" w:cstheme="majorBidi"/>
          <w:sz w:val="24"/>
          <w:szCs w:val="24"/>
          <w:lang w:bidi="fa-IR"/>
        </w:rPr>
        <w:t>which</w:t>
      </w:r>
      <w:proofErr w:type="gramEnd"/>
      <w:r w:rsidRPr="007631D0">
        <w:rPr>
          <w:rFonts w:asciiTheme="majorBidi" w:hAnsiTheme="majorBidi" w:cstheme="majorBidi"/>
          <w:sz w:val="24"/>
          <w:szCs w:val="24"/>
          <w:lang w:bidi="fa-IR"/>
        </w:rPr>
        <w:t xml:space="preserve"> thus increase the accuracy of </w:t>
      </w:r>
      <w:r>
        <w:rPr>
          <w:rFonts w:asciiTheme="majorBidi" w:hAnsiTheme="majorBidi" w:cstheme="majorBidi"/>
          <w:sz w:val="24"/>
          <w:szCs w:val="24"/>
          <w:lang w:bidi="fa-IR"/>
        </w:rPr>
        <w:t>performed calculations.</w:t>
      </w:r>
    </w:p>
    <w:p w:rsidR="00E97680" w:rsidRDefault="00E97680" w:rsidP="00E97680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An important parameter in calculating the </w:t>
      </w:r>
      <w:r>
        <w:rPr>
          <w:rFonts w:asciiTheme="majorBidi" w:hAnsiTheme="majorBidi" w:cstheme="majorBidi"/>
          <w:sz w:val="24"/>
          <w:szCs w:val="24"/>
          <w:lang w:bidi="fa-IR"/>
        </w:rPr>
        <w:t>capacitance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is the rate of voltage drop per unit time during the supercapacitor discharge process. It should be noted that voltage changes in the discharge area </w:t>
      </w:r>
      <w:r>
        <w:rPr>
          <w:rFonts w:asciiTheme="majorBidi" w:hAnsiTheme="majorBidi" w:cstheme="majorBidi"/>
          <w:sz w:val="24"/>
          <w:szCs w:val="24"/>
          <w:lang w:bidi="fa-IR"/>
        </w:rPr>
        <w:t>have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mainly exponential behavior, which in order to avoid the entry of nonlinear </w:t>
      </w:r>
      <w:proofErr w:type="gramStart"/>
      <w:r w:rsidRPr="00E97680">
        <w:rPr>
          <w:rFonts w:asciiTheme="majorBidi" w:hAnsiTheme="majorBidi" w:cstheme="majorBidi"/>
          <w:sz w:val="24"/>
          <w:szCs w:val="24"/>
          <w:lang w:bidi="fa-IR"/>
        </w:rPr>
        <w:t>parameters,</w:t>
      </w:r>
      <w:proofErr w:type="gramEnd"/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the initial slope of the discharge area is taken into account in the calculations. Therefore, the tangent line </w:t>
      </w:r>
      <w:proofErr w:type="gramStart"/>
      <w:r w:rsidRPr="00E97680">
        <w:rPr>
          <w:rFonts w:asciiTheme="majorBidi" w:hAnsiTheme="majorBidi" w:cstheme="majorBidi"/>
          <w:sz w:val="24"/>
          <w:szCs w:val="24"/>
          <w:lang w:bidi="fa-IR"/>
        </w:rPr>
        <w:t>i</w:t>
      </w:r>
      <w:r>
        <w:rPr>
          <w:rFonts w:asciiTheme="majorBidi" w:hAnsiTheme="majorBidi" w:cstheme="majorBidi"/>
          <w:sz w:val="24"/>
          <w:szCs w:val="24"/>
          <w:lang w:bidi="fa-IR"/>
        </w:rPr>
        <w:t>s plotted</w:t>
      </w:r>
      <w:proofErr w:type="gramEnd"/>
      <w:r>
        <w:rPr>
          <w:rFonts w:asciiTheme="majorBidi" w:hAnsiTheme="majorBidi" w:cstheme="majorBidi"/>
          <w:sz w:val="24"/>
          <w:szCs w:val="24"/>
          <w:lang w:bidi="fa-IR"/>
        </w:rPr>
        <w:t xml:space="preserve"> on the discharge region 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>according to the figure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S1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and the total capacitance is calculated in terms of Farad </w:t>
      </w:r>
      <w:r>
        <w:rPr>
          <w:rFonts w:asciiTheme="majorBidi" w:hAnsiTheme="majorBidi" w:cstheme="majorBidi"/>
          <w:sz w:val="24"/>
          <w:szCs w:val="24"/>
          <w:lang w:bidi="fa-IR"/>
        </w:rPr>
        <w:t>according to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fa-IR"/>
        </w:rPr>
        <w:t>follow:</w:t>
      </w:r>
    </w:p>
    <w:p w:rsidR="00FE78E3" w:rsidRDefault="00DB29F1" w:rsidP="00DB29F1">
      <w:pPr>
        <w:bidi/>
        <w:jc w:val="center"/>
        <w:rPr>
          <w:b/>
          <w:bCs/>
          <w:lang w:bidi="fa-IR"/>
        </w:rPr>
      </w:pPr>
      <w:r w:rsidRPr="006C10E4">
        <w:rPr>
          <w:rFonts w:asciiTheme="majorBidi" w:hAnsiTheme="majorBidi" w:cstheme="majorBidi"/>
          <w:sz w:val="24"/>
          <w:szCs w:val="24"/>
        </w:rPr>
        <w:t xml:space="preserve">C </w:t>
      </w:r>
      <w:r w:rsidR="006C10E4">
        <w:rPr>
          <w:rFonts w:asciiTheme="majorBidi" w:hAnsiTheme="majorBidi" w:cstheme="majorBidi"/>
          <w:sz w:val="24"/>
          <w:szCs w:val="24"/>
          <w:vertAlign w:val="subscript"/>
        </w:rPr>
        <w:t>Super</w:t>
      </w:r>
      <w:r w:rsidRPr="006C10E4">
        <w:rPr>
          <w:rFonts w:asciiTheme="majorBidi" w:hAnsiTheme="majorBidi" w:cstheme="majorBidi"/>
          <w:sz w:val="24"/>
          <w:szCs w:val="24"/>
          <w:vertAlign w:val="subscript"/>
        </w:rPr>
        <w:t>capacitor</w:t>
      </w:r>
      <w:r w:rsidRPr="006C10E4">
        <w:rPr>
          <w:rFonts w:asciiTheme="majorBidi" w:hAnsiTheme="majorBidi" w:cstheme="majorBidi"/>
          <w:sz w:val="24"/>
          <w:szCs w:val="24"/>
        </w:rPr>
        <w:t xml:space="preserve"> = </w:t>
      </w:r>
      <w:proofErr w:type="spellStart"/>
      <w:r w:rsidRPr="006C10E4">
        <w:rPr>
          <w:rFonts w:asciiTheme="majorBidi" w:hAnsiTheme="majorBidi" w:cstheme="majorBidi"/>
          <w:sz w:val="24"/>
          <w:szCs w:val="24"/>
        </w:rPr>
        <w:t>i</w:t>
      </w:r>
      <w:proofErr w:type="spellEnd"/>
      <w:proofErr w:type="gramStart"/>
      <w:r w:rsidRPr="006C10E4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6C10E4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6C10E4">
        <w:rPr>
          <w:rFonts w:asciiTheme="majorBidi" w:hAnsiTheme="majorBidi" w:cstheme="majorBidi"/>
          <w:sz w:val="24"/>
          <w:szCs w:val="24"/>
        </w:rPr>
        <w:t>dV</w:t>
      </w:r>
      <w:proofErr w:type="spellEnd"/>
      <w:r w:rsidRPr="006C10E4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Pr="006C10E4">
        <w:rPr>
          <w:rFonts w:asciiTheme="majorBidi" w:hAnsiTheme="majorBidi" w:cstheme="majorBidi"/>
          <w:sz w:val="24"/>
          <w:szCs w:val="24"/>
        </w:rPr>
        <w:t>dt</w:t>
      </w:r>
      <w:proofErr w:type="spellEnd"/>
      <w:r>
        <w:rPr>
          <w:rFonts w:ascii="Arial" w:hAnsi="Arial" w:cs="Arial"/>
          <w:sz w:val="28"/>
          <w:szCs w:val="28"/>
        </w:rPr>
        <w:t>)</w:t>
      </w:r>
      <w:r w:rsidR="00482F74">
        <w:rPr>
          <w:rFonts w:ascii="Arial" w:hAnsi="Arial" w:cs="Arial"/>
          <w:sz w:val="28"/>
          <w:szCs w:val="28"/>
        </w:rPr>
        <w:t xml:space="preserve">      </w:t>
      </w:r>
      <w:r w:rsidR="00482F74" w:rsidRPr="006C10E4">
        <w:rPr>
          <w:rFonts w:asciiTheme="majorBidi" w:hAnsiTheme="majorBidi" w:cstheme="majorBidi"/>
          <w:sz w:val="24"/>
          <w:szCs w:val="24"/>
        </w:rPr>
        <w:t>(</w:t>
      </w:r>
      <w:r w:rsidR="006C10E4" w:rsidRPr="006C10E4">
        <w:rPr>
          <w:rFonts w:asciiTheme="majorBidi" w:hAnsiTheme="majorBidi" w:cstheme="majorBidi"/>
          <w:sz w:val="24"/>
          <w:szCs w:val="24"/>
        </w:rPr>
        <w:t>S</w:t>
      </w:r>
      <w:r w:rsidR="00482F74" w:rsidRPr="006C10E4">
        <w:rPr>
          <w:rFonts w:asciiTheme="majorBidi" w:hAnsiTheme="majorBidi" w:cstheme="majorBidi"/>
          <w:sz w:val="24"/>
          <w:szCs w:val="24"/>
        </w:rPr>
        <w:t>1)</w:t>
      </w:r>
    </w:p>
    <w:p w:rsidR="00E97680" w:rsidRPr="00E97680" w:rsidRDefault="00E97680" w:rsidP="00E97680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Where </w:t>
      </w:r>
      <w:proofErr w:type="spellStart"/>
      <w:r w:rsidRPr="00E97680">
        <w:rPr>
          <w:rFonts w:asciiTheme="majorBidi" w:hAnsiTheme="majorBidi" w:cstheme="majorBidi"/>
          <w:sz w:val="24"/>
          <w:szCs w:val="24"/>
          <w:lang w:bidi="fa-IR"/>
        </w:rPr>
        <w:t>i</w:t>
      </w:r>
      <w:proofErr w:type="spellEnd"/>
      <w:r w:rsidRPr="00E97680">
        <w:rPr>
          <w:rFonts w:asciiTheme="majorBidi" w:hAnsiTheme="majorBidi" w:cstheme="majorBidi"/>
          <w:sz w:val="24"/>
          <w:szCs w:val="24"/>
          <w:lang w:bidi="fa-IR"/>
        </w:rPr>
        <w:t xml:space="preserve"> is the charge and discharge current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of the supercacitor</w:t>
      </w:r>
      <w:r w:rsidRPr="00E97680">
        <w:rPr>
          <w:rFonts w:asciiTheme="majorBidi" w:hAnsiTheme="majorBidi" w:cstheme="majorBidi"/>
          <w:sz w:val="24"/>
          <w:szCs w:val="24"/>
          <w:lang w:bidi="fa-IR"/>
        </w:rPr>
        <w:t>.</w:t>
      </w:r>
    </w:p>
    <w:p w:rsidR="00E97680" w:rsidRPr="008838A0" w:rsidRDefault="008838A0" w:rsidP="008838A0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To normalize the calculated </w:t>
      </w:r>
      <w:r>
        <w:rPr>
          <w:rFonts w:asciiTheme="majorBidi" w:hAnsiTheme="majorBidi" w:cstheme="majorBidi"/>
          <w:sz w:val="24"/>
          <w:szCs w:val="24"/>
          <w:lang w:bidi="fa-IR"/>
        </w:rPr>
        <w:t>capacitance per unit area and volume,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fa-IR"/>
        </w:rPr>
        <w:t>t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he </w:t>
      </w:r>
      <w:proofErr w:type="gramStart"/>
      <w:r w:rsidRPr="008838A0">
        <w:rPr>
          <w:rFonts w:asciiTheme="majorBidi" w:hAnsiTheme="majorBidi" w:cstheme="majorBidi"/>
          <w:sz w:val="24"/>
          <w:szCs w:val="24"/>
          <w:lang w:bidi="fa-IR"/>
        </w:rPr>
        <w:t>above values are divided by the effective surface (A) and the effective volume (V) according to the following formulas</w:t>
      </w:r>
      <w:proofErr w:type="gramEnd"/>
      <w:r w:rsidRPr="008838A0">
        <w:rPr>
          <w:rFonts w:asciiTheme="majorBidi" w:hAnsiTheme="majorBidi" w:cstheme="majorBidi"/>
          <w:sz w:val="24"/>
          <w:szCs w:val="24"/>
          <w:lang w:bidi="fa-IR"/>
        </w:rPr>
        <w:t>:</w:t>
      </w:r>
    </w:p>
    <w:p w:rsidR="00FE78E3" w:rsidRDefault="00FE78E3" w:rsidP="00FE78E3">
      <w:pPr>
        <w:tabs>
          <w:tab w:val="center" w:pos="4680"/>
          <w:tab w:val="left" w:pos="6987"/>
        </w:tabs>
        <w:rPr>
          <w:lang w:bidi="fa-IR"/>
        </w:rPr>
      </w:pPr>
      <w:r>
        <w:rPr>
          <w:rFonts w:ascii="Arial" w:hAnsi="Arial" w:cs="Arial"/>
          <w:sz w:val="28"/>
          <w:szCs w:val="28"/>
        </w:rPr>
        <w:tab/>
      </w:r>
      <w:proofErr w:type="spellStart"/>
      <w:r w:rsidRPr="006C10E4">
        <w:rPr>
          <w:rFonts w:asciiTheme="majorBidi" w:hAnsiTheme="majorBidi" w:cstheme="majorBidi"/>
          <w:sz w:val="24"/>
          <w:szCs w:val="24"/>
        </w:rPr>
        <w:t>C</w:t>
      </w:r>
      <w:r w:rsidRPr="006C10E4">
        <w:rPr>
          <w:rFonts w:asciiTheme="majorBidi" w:hAnsiTheme="majorBidi" w:cstheme="majorBidi"/>
          <w:sz w:val="24"/>
          <w:szCs w:val="24"/>
          <w:vertAlign w:val="subscript"/>
        </w:rPr>
        <w:t>Areal</w:t>
      </w:r>
      <w:proofErr w:type="spellEnd"/>
      <w:r w:rsidRPr="006C10E4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="006C10E4">
        <w:rPr>
          <w:rFonts w:asciiTheme="majorBidi" w:hAnsiTheme="majorBidi" w:cstheme="majorBidi"/>
          <w:sz w:val="24"/>
          <w:szCs w:val="24"/>
        </w:rPr>
        <w:t xml:space="preserve">= </w:t>
      </w:r>
      <w:proofErr w:type="spellStart"/>
      <w:r w:rsidR="006C10E4">
        <w:rPr>
          <w:rFonts w:asciiTheme="majorBidi" w:hAnsiTheme="majorBidi" w:cstheme="majorBidi"/>
          <w:sz w:val="24"/>
          <w:szCs w:val="24"/>
        </w:rPr>
        <w:t>C</w:t>
      </w:r>
      <w:r w:rsidR="006C10E4">
        <w:rPr>
          <w:rFonts w:asciiTheme="majorBidi" w:hAnsiTheme="majorBidi" w:cstheme="majorBidi"/>
          <w:sz w:val="24"/>
          <w:szCs w:val="24"/>
          <w:vertAlign w:val="subscript"/>
        </w:rPr>
        <w:t>Super</w:t>
      </w:r>
      <w:r w:rsidRPr="006C10E4">
        <w:rPr>
          <w:rFonts w:asciiTheme="majorBidi" w:hAnsiTheme="majorBidi" w:cstheme="majorBidi"/>
          <w:sz w:val="24"/>
          <w:szCs w:val="24"/>
          <w:vertAlign w:val="subscript"/>
        </w:rPr>
        <w:t>capacitor</w:t>
      </w:r>
      <w:proofErr w:type="spellEnd"/>
      <w:r w:rsidRPr="006C10E4">
        <w:rPr>
          <w:rFonts w:asciiTheme="majorBidi" w:hAnsiTheme="majorBidi" w:cstheme="majorBidi"/>
          <w:sz w:val="24"/>
          <w:szCs w:val="24"/>
        </w:rPr>
        <w:t xml:space="preserve"> /A</w:t>
      </w:r>
      <w:r>
        <w:rPr>
          <w:rFonts w:ascii="Arial" w:hAnsi="Arial" w:cs="Arial" w:hint="cs"/>
          <w:sz w:val="28"/>
          <w:szCs w:val="28"/>
          <w:rtl/>
        </w:rPr>
        <w:t xml:space="preserve">        </w:t>
      </w:r>
      <w:r w:rsidRPr="006C10E4">
        <w:rPr>
          <w:rFonts w:asciiTheme="majorBidi" w:hAnsiTheme="majorBidi" w:cstheme="majorBidi"/>
          <w:sz w:val="24"/>
          <w:szCs w:val="24"/>
        </w:rPr>
        <w:t>(</w:t>
      </w:r>
      <w:r w:rsidR="006C10E4" w:rsidRPr="006C10E4">
        <w:rPr>
          <w:rFonts w:asciiTheme="majorBidi" w:hAnsiTheme="majorBidi" w:cstheme="majorBidi"/>
          <w:sz w:val="24"/>
          <w:szCs w:val="24"/>
        </w:rPr>
        <w:t>S</w:t>
      </w:r>
      <w:r w:rsidRPr="006C10E4">
        <w:rPr>
          <w:rFonts w:asciiTheme="majorBidi" w:hAnsiTheme="majorBidi" w:cstheme="majorBidi"/>
          <w:sz w:val="24"/>
          <w:szCs w:val="24"/>
        </w:rPr>
        <w:t>2)</w:t>
      </w:r>
    </w:p>
    <w:p w:rsidR="00963C95" w:rsidRPr="006C10E4" w:rsidRDefault="00FE78E3" w:rsidP="00FE78E3">
      <w:pPr>
        <w:tabs>
          <w:tab w:val="left" w:pos="4145"/>
          <w:tab w:val="center" w:pos="4680"/>
          <w:tab w:val="left" w:pos="7275"/>
        </w:tabs>
        <w:jc w:val="center"/>
        <w:rPr>
          <w:rFonts w:asciiTheme="majorBidi" w:hAnsiTheme="majorBidi" w:cstheme="majorBidi"/>
          <w:sz w:val="24"/>
          <w:szCs w:val="24"/>
          <w:lang w:bidi="fa-IR"/>
        </w:rPr>
      </w:pPr>
      <w:proofErr w:type="spellStart"/>
      <w:r w:rsidRPr="006C10E4">
        <w:rPr>
          <w:rFonts w:asciiTheme="majorBidi" w:hAnsiTheme="majorBidi" w:cstheme="majorBidi"/>
          <w:sz w:val="24"/>
          <w:szCs w:val="24"/>
        </w:rPr>
        <w:lastRenderedPageBreak/>
        <w:t>C</w:t>
      </w:r>
      <w:r w:rsidRPr="006C10E4">
        <w:rPr>
          <w:rFonts w:asciiTheme="majorBidi" w:hAnsiTheme="majorBidi" w:cstheme="majorBidi"/>
          <w:sz w:val="24"/>
          <w:szCs w:val="24"/>
          <w:vertAlign w:val="subscript"/>
        </w:rPr>
        <w:t>Volumetric</w:t>
      </w:r>
      <w:proofErr w:type="spellEnd"/>
      <w:r w:rsidRPr="006C10E4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="006C10E4">
        <w:rPr>
          <w:rFonts w:asciiTheme="majorBidi" w:hAnsiTheme="majorBidi" w:cstheme="majorBidi"/>
          <w:sz w:val="24"/>
          <w:szCs w:val="24"/>
        </w:rPr>
        <w:t xml:space="preserve">= </w:t>
      </w:r>
      <w:proofErr w:type="spellStart"/>
      <w:r w:rsidR="006C10E4">
        <w:rPr>
          <w:rFonts w:asciiTheme="majorBidi" w:hAnsiTheme="majorBidi" w:cstheme="majorBidi"/>
          <w:sz w:val="24"/>
          <w:szCs w:val="24"/>
        </w:rPr>
        <w:t>C</w:t>
      </w:r>
      <w:r w:rsidR="006C10E4" w:rsidRPr="006C10E4">
        <w:rPr>
          <w:rFonts w:asciiTheme="majorBidi" w:hAnsiTheme="majorBidi" w:cstheme="majorBidi"/>
          <w:sz w:val="24"/>
          <w:szCs w:val="24"/>
          <w:vertAlign w:val="subscript"/>
        </w:rPr>
        <w:t>Super</w:t>
      </w:r>
      <w:r w:rsidRPr="006C10E4">
        <w:rPr>
          <w:rFonts w:asciiTheme="majorBidi" w:hAnsiTheme="majorBidi" w:cstheme="majorBidi"/>
          <w:sz w:val="24"/>
          <w:szCs w:val="24"/>
          <w:vertAlign w:val="subscript"/>
        </w:rPr>
        <w:t>capacitor</w:t>
      </w:r>
      <w:proofErr w:type="spellEnd"/>
      <w:r w:rsidRPr="006C10E4">
        <w:rPr>
          <w:rFonts w:asciiTheme="majorBidi" w:hAnsiTheme="majorBidi" w:cstheme="majorBidi"/>
          <w:sz w:val="24"/>
          <w:szCs w:val="24"/>
        </w:rPr>
        <w:t xml:space="preserve"> /V</w:t>
      </w:r>
      <w:r w:rsidRPr="006C10E4">
        <w:rPr>
          <w:rFonts w:asciiTheme="majorBidi" w:hAnsiTheme="majorBidi" w:cstheme="majorBidi"/>
          <w:sz w:val="24"/>
          <w:szCs w:val="24"/>
          <w:rtl/>
        </w:rPr>
        <w:t xml:space="preserve">   </w:t>
      </w:r>
      <w:r w:rsidRPr="006C10E4">
        <w:rPr>
          <w:rFonts w:asciiTheme="majorBidi" w:hAnsiTheme="majorBidi" w:cstheme="majorBidi"/>
          <w:sz w:val="24"/>
          <w:szCs w:val="24"/>
        </w:rPr>
        <w:t>(3)</w:t>
      </w:r>
    </w:p>
    <w:p w:rsidR="008838A0" w:rsidRDefault="008838A0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In the case of planar </w:t>
      </w:r>
      <w:r w:rsidR="00723ADA" w:rsidRPr="008838A0">
        <w:rPr>
          <w:rFonts w:asciiTheme="majorBidi" w:hAnsiTheme="majorBidi" w:cstheme="majorBidi"/>
          <w:sz w:val="24"/>
          <w:szCs w:val="24"/>
          <w:lang w:bidi="fa-IR"/>
        </w:rPr>
        <w:t>supercapacitors,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t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he effective area of ​​the supercapacitor (A) includes the area of ​​each of the positive and negative electrodes that act as the current collector plus the area of ​​the separator between the electrodes. 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This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a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rea is independent of the super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capacitor packaging. According to 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our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calculations, the area of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 xml:space="preserve"> the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​​flat supercapacitors is equal to 92.34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>mm</w:t>
      </w:r>
      <w:r w:rsidRPr="00723AD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2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. To calculate the effective volume (V), the amount of effective surface </w:t>
      </w:r>
      <w:proofErr w:type="gramStart"/>
      <w:r w:rsidRPr="008838A0">
        <w:rPr>
          <w:rFonts w:asciiTheme="majorBidi" w:hAnsiTheme="majorBidi" w:cstheme="majorBidi"/>
          <w:sz w:val="24"/>
          <w:szCs w:val="24"/>
          <w:lang w:bidi="fa-IR"/>
        </w:rPr>
        <w:t>must be multiplied</w:t>
      </w:r>
      <w:proofErr w:type="gramEnd"/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by the thickness of the LSG, which acts as the active material. According to the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 xml:space="preserve"> cross-sectional SEM image of the samples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>, the effective thickness of the LSG is about 32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 xml:space="preserve"> μ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m. Therefore, the effective volume of 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rGO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flat supercapacitors </w:t>
      </w:r>
      <w:proofErr w:type="gramStart"/>
      <w:r w:rsidRPr="008838A0">
        <w:rPr>
          <w:rFonts w:asciiTheme="majorBidi" w:hAnsiTheme="majorBidi" w:cstheme="majorBidi"/>
          <w:sz w:val="24"/>
          <w:szCs w:val="24"/>
          <w:lang w:bidi="fa-IR"/>
        </w:rPr>
        <w:t>is calculated</w:t>
      </w:r>
      <w:proofErr w:type="gramEnd"/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 to be 2.955 mm</w:t>
      </w:r>
      <w:r w:rsidRPr="00723ADA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3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 xml:space="preserve">, and all data, including current and capacitance, are normalized based on this </w:t>
      </w:r>
      <w:r w:rsidR="00723ADA">
        <w:rPr>
          <w:rFonts w:asciiTheme="majorBidi" w:hAnsiTheme="majorBidi" w:cstheme="majorBidi"/>
          <w:sz w:val="24"/>
          <w:szCs w:val="24"/>
          <w:lang w:bidi="fa-IR"/>
        </w:rPr>
        <w:t>value</w:t>
      </w:r>
      <w:r w:rsidRPr="008838A0">
        <w:rPr>
          <w:rFonts w:asciiTheme="majorBidi" w:hAnsiTheme="majorBidi" w:cstheme="majorBidi"/>
          <w:sz w:val="24"/>
          <w:szCs w:val="24"/>
          <w:lang w:bidi="fa-IR"/>
        </w:rPr>
        <w:t>.</w:t>
      </w:r>
    </w:p>
    <w:p w:rsidR="00263619" w:rsidRDefault="002A2F1D" w:rsidP="00263619">
      <w:pPr>
        <w:keepNext/>
        <w:spacing w:after="160" w:line="360" w:lineRule="auto"/>
        <w:jc w:val="center"/>
      </w:pPr>
      <w:r>
        <w:rPr>
          <w:rFonts w:asciiTheme="majorBidi" w:hAnsiTheme="majorBidi" w:cstheme="majorBidi"/>
          <w:sz w:val="24"/>
          <w:szCs w:val="24"/>
          <w:lang w:bidi="fa-I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9pt;height:223.5pt">
            <v:imagedata r:id="rId7" o:title="cross"/>
          </v:shape>
        </w:pict>
      </w:r>
    </w:p>
    <w:p w:rsidR="006C10E4" w:rsidRPr="00263619" w:rsidRDefault="00263619" w:rsidP="00263619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  <w:lang w:bidi="fa-IR"/>
        </w:rPr>
      </w:pPr>
      <w:r w:rsidRPr="00263619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  <w:lang w:bidi="fa-IR"/>
        </w:rPr>
        <w:t>Figure S2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  <w:lang w:bidi="fa-IR"/>
        </w:rPr>
        <w:t xml:space="preserve">. 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  <w:lang w:bidi="fa-IR"/>
        </w:rPr>
        <w:t>Cross-sectional image of the rGO film.</w:t>
      </w:r>
    </w:p>
    <w:p w:rsidR="006C10E4" w:rsidRDefault="006C10E4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6C10E4" w:rsidRDefault="006C10E4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6C10E4" w:rsidRDefault="006C10E4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6C10E4" w:rsidRDefault="006C10E4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6C10E4" w:rsidRPr="008838A0" w:rsidRDefault="006C10E4" w:rsidP="00723ADA">
      <w:pPr>
        <w:spacing w:after="16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713EAD" w:rsidRDefault="00713EAD" w:rsidP="00713EAD">
      <w:pPr>
        <w:bidi/>
        <w:rPr>
          <w:rtl/>
          <w:lang w:bidi="fa-IR"/>
        </w:rPr>
      </w:pPr>
    </w:p>
    <w:p w:rsidR="005026AE" w:rsidRDefault="00A5350E" w:rsidP="005026AE">
      <w:pPr>
        <w:keepNext/>
        <w:bidi/>
        <w:jc w:val="center"/>
      </w:pPr>
      <w:r>
        <w:rPr>
          <w:noProof/>
        </w:rPr>
        <w:lastRenderedPageBreak/>
        <w:drawing>
          <wp:inline distT="0" distB="0" distL="0" distR="0" wp14:anchorId="146FDB9B" wp14:editId="51A2FFCB">
            <wp:extent cx="3999506" cy="2833837"/>
            <wp:effectExtent l="0" t="0" r="127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7396" cy="283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622" w:rsidRPr="005026AE" w:rsidRDefault="005026AE" w:rsidP="004D6B41">
      <w:pPr>
        <w:spacing w:after="160" w:line="360" w:lineRule="auto"/>
        <w:jc w:val="both"/>
        <w:rPr>
          <w:rFonts w:asciiTheme="majorBidi" w:hAnsiTheme="majorBidi" w:cstheme="majorBidi"/>
          <w:rtl/>
          <w:lang w:bidi="fa-IR"/>
        </w:rPr>
      </w:pPr>
      <w:r w:rsidRPr="006C10E4">
        <w:rPr>
          <w:rFonts w:asciiTheme="majorBidi" w:hAnsiTheme="majorBidi" w:cstheme="majorBidi"/>
          <w:b/>
          <w:bCs/>
          <w:lang w:bidi="fa-IR"/>
        </w:rPr>
        <w:t>Figure</w:t>
      </w:r>
      <w:r w:rsidRPr="006C10E4">
        <w:rPr>
          <w:rFonts w:asciiTheme="majorBidi" w:hAnsiTheme="majorBidi" w:cstheme="majorBidi"/>
          <w:b/>
          <w:bCs/>
          <w:rtl/>
          <w:lang w:bidi="fa-IR"/>
        </w:rPr>
        <w:t xml:space="preserve"> </w:t>
      </w:r>
      <w:r w:rsidRPr="006C10E4">
        <w:rPr>
          <w:rFonts w:asciiTheme="majorBidi" w:hAnsiTheme="majorBidi" w:cstheme="majorBidi"/>
          <w:b/>
          <w:bCs/>
          <w:lang w:bidi="fa-IR"/>
        </w:rPr>
        <w:t>S</w:t>
      </w:r>
      <w:r w:rsidR="004D6B41">
        <w:rPr>
          <w:rFonts w:asciiTheme="majorBidi" w:hAnsiTheme="majorBidi" w:cstheme="majorBidi"/>
          <w:b/>
          <w:bCs/>
          <w:lang w:bidi="fa-IR"/>
        </w:rPr>
        <w:t>3</w:t>
      </w:r>
      <w:r w:rsidRPr="005026AE">
        <w:rPr>
          <w:rFonts w:asciiTheme="majorBidi" w:hAnsiTheme="majorBidi" w:cstheme="majorBidi"/>
          <w:lang w:bidi="fa-IR"/>
        </w:rPr>
        <w:t xml:space="preserve">. </w:t>
      </w:r>
      <w:r>
        <w:rPr>
          <w:rFonts w:asciiTheme="majorBidi" w:hAnsiTheme="majorBidi" w:cstheme="majorBidi"/>
          <w:lang w:bidi="fa-IR"/>
        </w:rPr>
        <w:t>Specific</w:t>
      </w:r>
      <w:r w:rsidRPr="005026AE">
        <w:rPr>
          <w:rFonts w:asciiTheme="majorBidi" w:hAnsiTheme="majorBidi" w:cstheme="majorBidi"/>
          <w:lang w:bidi="fa-IR"/>
        </w:rPr>
        <w:t xml:space="preserve"> capacitance per unit volume </w:t>
      </w:r>
      <w:r>
        <w:rPr>
          <w:rFonts w:asciiTheme="majorBidi" w:hAnsiTheme="majorBidi" w:cstheme="majorBidi"/>
          <w:lang w:bidi="fa-IR"/>
        </w:rPr>
        <w:t>versus plasma exposure time</w:t>
      </w:r>
      <w:r w:rsidRPr="005026AE">
        <w:rPr>
          <w:rFonts w:asciiTheme="majorBidi" w:hAnsiTheme="majorBidi" w:cstheme="majorBidi"/>
          <w:lang w:bidi="fa-IR"/>
        </w:rPr>
        <w:t xml:space="preserve"> increasing </w:t>
      </w:r>
      <w:r>
        <w:rPr>
          <w:rFonts w:asciiTheme="majorBidi" w:hAnsiTheme="majorBidi" w:cstheme="majorBidi"/>
          <w:lang w:bidi="fa-IR"/>
        </w:rPr>
        <w:t xml:space="preserve">from </w:t>
      </w:r>
      <w:proofErr w:type="gramStart"/>
      <w:r>
        <w:rPr>
          <w:rFonts w:asciiTheme="majorBidi" w:hAnsiTheme="majorBidi" w:cstheme="majorBidi"/>
          <w:lang w:bidi="fa-IR"/>
        </w:rPr>
        <w:t>0</w:t>
      </w:r>
      <w:proofErr w:type="gramEnd"/>
      <w:r>
        <w:rPr>
          <w:rFonts w:asciiTheme="majorBidi" w:hAnsiTheme="majorBidi" w:cstheme="majorBidi"/>
          <w:lang w:bidi="fa-IR"/>
        </w:rPr>
        <w:t xml:space="preserve"> to 30 min.</w:t>
      </w:r>
    </w:p>
    <w:p w:rsidR="00713EAD" w:rsidRDefault="00713EAD" w:rsidP="00416622">
      <w:pPr>
        <w:bidi/>
        <w:jc w:val="center"/>
        <w:rPr>
          <w:lang w:bidi="fa-IR"/>
        </w:rPr>
      </w:pPr>
    </w:p>
    <w:p w:rsidR="006C10E4" w:rsidRDefault="006C10E4" w:rsidP="006C10E4">
      <w:pPr>
        <w:bidi/>
        <w:jc w:val="center"/>
        <w:rPr>
          <w:lang w:bidi="fa-IR"/>
        </w:rPr>
      </w:pPr>
    </w:p>
    <w:p w:rsidR="006C10E4" w:rsidRDefault="006C10E4" w:rsidP="006C10E4">
      <w:pPr>
        <w:bidi/>
        <w:jc w:val="center"/>
        <w:rPr>
          <w:lang w:bidi="fa-IR"/>
        </w:rPr>
      </w:pPr>
    </w:p>
    <w:p w:rsidR="006C10E4" w:rsidRDefault="006C10E4" w:rsidP="006C10E4">
      <w:pPr>
        <w:bidi/>
        <w:jc w:val="center"/>
        <w:rPr>
          <w:lang w:bidi="fa-IR"/>
        </w:rPr>
      </w:pPr>
    </w:p>
    <w:p w:rsidR="006C10E4" w:rsidRDefault="006C10E4" w:rsidP="006C10E4">
      <w:pPr>
        <w:bidi/>
        <w:jc w:val="center"/>
        <w:rPr>
          <w:lang w:bidi="fa-IR"/>
        </w:rPr>
      </w:pPr>
    </w:p>
    <w:p w:rsidR="006C10E4" w:rsidRPr="00416622" w:rsidRDefault="006C10E4" w:rsidP="006C10E4">
      <w:pPr>
        <w:bidi/>
        <w:jc w:val="center"/>
        <w:rPr>
          <w:rtl/>
          <w:lang w:bidi="fa-IR"/>
        </w:rPr>
      </w:pPr>
    </w:p>
    <w:sectPr w:rsidR="006C10E4" w:rsidRPr="004166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335"/>
    <w:rsid w:val="00076254"/>
    <w:rsid w:val="000E0E6B"/>
    <w:rsid w:val="000F6A4C"/>
    <w:rsid w:val="00263619"/>
    <w:rsid w:val="002A2F1D"/>
    <w:rsid w:val="002A7800"/>
    <w:rsid w:val="002D6588"/>
    <w:rsid w:val="002F6F1B"/>
    <w:rsid w:val="00416622"/>
    <w:rsid w:val="00482F74"/>
    <w:rsid w:val="004B1C78"/>
    <w:rsid w:val="004D6B41"/>
    <w:rsid w:val="005026AE"/>
    <w:rsid w:val="00611335"/>
    <w:rsid w:val="00634F3C"/>
    <w:rsid w:val="006C10E4"/>
    <w:rsid w:val="006E4D7B"/>
    <w:rsid w:val="00713EAD"/>
    <w:rsid w:val="00723ADA"/>
    <w:rsid w:val="007631D0"/>
    <w:rsid w:val="007F4A48"/>
    <w:rsid w:val="008838A0"/>
    <w:rsid w:val="008A35F0"/>
    <w:rsid w:val="00963C95"/>
    <w:rsid w:val="009B3303"/>
    <w:rsid w:val="00A5350E"/>
    <w:rsid w:val="00A864EC"/>
    <w:rsid w:val="00B07A80"/>
    <w:rsid w:val="00B522F0"/>
    <w:rsid w:val="00B60D67"/>
    <w:rsid w:val="00DB29F1"/>
    <w:rsid w:val="00E97680"/>
    <w:rsid w:val="00EE3C97"/>
    <w:rsid w:val="00F44CD9"/>
    <w:rsid w:val="00FE78E3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E078C"/>
  <w15:docId w15:val="{A10EB056-EDDD-4D3F-808C-59F0014C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1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335"/>
    <w:rPr>
      <w:rFonts w:ascii="Tahoma" w:hAnsi="Tahoma" w:cs="Tahoma"/>
      <w:sz w:val="16"/>
      <w:szCs w:val="16"/>
    </w:rPr>
  </w:style>
  <w:style w:type="character" w:customStyle="1" w:styleId="jlqj4b">
    <w:name w:val="jlqj4b"/>
    <w:basedOn w:val="DefaultParagraphFont"/>
    <w:rsid w:val="002D6588"/>
  </w:style>
  <w:style w:type="paragraph" w:styleId="Caption">
    <w:name w:val="caption"/>
    <w:basedOn w:val="Normal"/>
    <w:next w:val="Normal"/>
    <w:uiPriority w:val="35"/>
    <w:unhideWhenUsed/>
    <w:qFormat/>
    <w:rsid w:val="002D6588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viiyi">
    <w:name w:val="viiyi"/>
    <w:basedOn w:val="DefaultParagraphFont"/>
    <w:rsid w:val="007631D0"/>
  </w:style>
  <w:style w:type="character" w:styleId="Hyperlink">
    <w:name w:val="Hyperlink"/>
    <w:basedOn w:val="DefaultParagraphFont"/>
    <w:uiPriority w:val="99"/>
    <w:unhideWhenUsed/>
    <w:rsid w:val="006C10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Z.Sanaee@ut.ac.ir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F.Ghasemi@uok.ac.i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Namdar Habashi-Naser</dc:creator>
  <cp:lastModifiedBy>foad ghasemi</cp:lastModifiedBy>
  <cp:revision>5</cp:revision>
  <dcterms:created xsi:type="dcterms:W3CDTF">2021-09-22T11:09:00Z</dcterms:created>
  <dcterms:modified xsi:type="dcterms:W3CDTF">2021-09-23T11:56:00Z</dcterms:modified>
</cp:coreProperties>
</file>