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E905B" w14:textId="5BCBC791" w:rsidR="005859B6" w:rsidRPr="00114FCC" w:rsidRDefault="005859B6" w:rsidP="00A52B55">
      <w:pPr>
        <w:widowControl/>
        <w:pBdr>
          <w:top w:val="nil"/>
          <w:left w:val="nil"/>
          <w:bottom w:val="nil"/>
          <w:right w:val="nil"/>
          <w:between w:val="nil"/>
        </w:pBdr>
        <w:adjustRightInd w:val="0"/>
        <w:snapToGrid w:val="0"/>
        <w:rPr>
          <w:rFonts w:ascii="Segoe UI" w:hAnsi="Segoe UI" w:cs="Segoe UI"/>
          <w:b/>
          <w:sz w:val="32"/>
          <w:szCs w:val="32"/>
        </w:rPr>
      </w:pPr>
      <w:r w:rsidRPr="00114FCC">
        <w:rPr>
          <w:rFonts w:ascii="Segoe UI" w:eastAsia="Arial" w:hAnsi="Segoe UI" w:cs="Segoe UI"/>
          <w:b/>
          <w:sz w:val="32"/>
          <w:szCs w:val="32"/>
        </w:rPr>
        <w:t>Supplementary</w:t>
      </w:r>
      <w:r w:rsidRPr="00114FCC">
        <w:rPr>
          <w:rFonts w:ascii="Segoe UI" w:hAnsi="Segoe UI" w:cs="Segoe UI"/>
          <w:b/>
          <w:sz w:val="32"/>
          <w:szCs w:val="32"/>
        </w:rPr>
        <w:t xml:space="preserve"> information for “</w:t>
      </w:r>
      <w:r w:rsidRPr="00114FCC">
        <w:rPr>
          <w:rFonts w:ascii="Segoe UI" w:eastAsia="Arial" w:hAnsi="Segoe UI" w:cs="Segoe UI"/>
          <w:b/>
          <w:sz w:val="32"/>
          <w:szCs w:val="32"/>
        </w:rPr>
        <w:t>Large-scale photonic interferometric complex</w:t>
      </w:r>
      <w:r w:rsidRPr="00114FCC">
        <w:rPr>
          <w:rFonts w:ascii="Segoe UI" w:hAnsi="Segoe UI" w:cs="Segoe UI"/>
          <w:b/>
          <w:sz w:val="32"/>
          <w:szCs w:val="32"/>
        </w:rPr>
        <w:t>-valued</w:t>
      </w:r>
      <w:r w:rsidRPr="00114FCC">
        <w:rPr>
          <w:rFonts w:ascii="Segoe UI" w:eastAsia="Arial" w:hAnsi="Segoe UI" w:cs="Segoe UI"/>
          <w:b/>
          <w:sz w:val="32"/>
          <w:szCs w:val="32"/>
        </w:rPr>
        <w:t xml:space="preserve"> processors capable of wavelength</w:t>
      </w:r>
      <w:r w:rsidRPr="00114FCC">
        <w:rPr>
          <w:rFonts w:ascii="Segoe UI" w:hAnsi="Segoe UI" w:cs="Segoe UI"/>
          <w:b/>
          <w:sz w:val="32"/>
          <w:szCs w:val="32"/>
        </w:rPr>
        <w:t xml:space="preserve"> </w:t>
      </w:r>
      <w:r w:rsidRPr="00114FCC">
        <w:rPr>
          <w:rFonts w:ascii="Segoe UI" w:eastAsia="Arial" w:hAnsi="Segoe UI" w:cs="Segoe UI"/>
          <w:b/>
          <w:sz w:val="32"/>
          <w:szCs w:val="32"/>
        </w:rPr>
        <w:t>division multiplexing</w:t>
      </w:r>
      <w:r w:rsidR="00C14A50" w:rsidRPr="00114FCC">
        <w:rPr>
          <w:rFonts w:ascii="Segoe UI" w:eastAsia="Arial" w:hAnsi="Segoe UI" w:cs="Segoe UI"/>
          <w:b/>
          <w:sz w:val="32"/>
          <w:szCs w:val="32"/>
        </w:rPr>
        <w:t>.</w:t>
      </w:r>
      <w:r w:rsidRPr="00114FCC">
        <w:rPr>
          <w:rFonts w:ascii="Segoe UI" w:hAnsi="Segoe UI" w:cs="Segoe UI"/>
          <w:b/>
          <w:sz w:val="32"/>
          <w:szCs w:val="32"/>
        </w:rPr>
        <w:t>”</w:t>
      </w:r>
    </w:p>
    <w:p w14:paraId="692AFD53" w14:textId="77777777" w:rsidR="00631656" w:rsidRPr="00631656" w:rsidRDefault="00631656" w:rsidP="00631656">
      <w:pPr>
        <w:widowControl/>
        <w:adjustRightInd w:val="0"/>
        <w:snapToGrid w:val="0"/>
        <w:contextualSpacing/>
        <w:rPr>
          <w:rFonts w:ascii="Segoe UI" w:eastAsia="Arial" w:hAnsi="Segoe UI" w:cs="Segoe UI"/>
          <w:sz w:val="22"/>
          <w:szCs w:val="22"/>
        </w:rPr>
      </w:pPr>
      <w:r w:rsidRPr="00631656">
        <w:rPr>
          <w:rFonts w:ascii="Segoe UI" w:eastAsia="Arial" w:hAnsi="Segoe UI" w:cs="Segoe UI"/>
          <w:sz w:val="22"/>
          <w:szCs w:val="22"/>
          <w:vertAlign w:val="superscript"/>
        </w:rPr>
        <w:t>†</w:t>
      </w:r>
      <w:r w:rsidRPr="00631656">
        <w:rPr>
          <w:rFonts w:ascii="Segoe UI" w:eastAsia="Arial" w:hAnsi="Segoe UI" w:cs="Segoe UI"/>
          <w:sz w:val="22"/>
          <w:szCs w:val="22"/>
        </w:rPr>
        <w:t>Shota Kita</w:t>
      </w:r>
      <w:r w:rsidRPr="00631656">
        <w:rPr>
          <w:rFonts w:ascii="Segoe UI" w:eastAsia="Arial" w:hAnsi="Segoe UI" w:cs="Segoe UI"/>
          <w:sz w:val="22"/>
          <w:szCs w:val="22"/>
          <w:vertAlign w:val="superscript"/>
        </w:rPr>
        <w:t>1,2</w:t>
      </w:r>
      <w:r w:rsidRPr="00631656">
        <w:rPr>
          <w:rFonts w:ascii="Segoe UI" w:eastAsia="Arial" w:hAnsi="Segoe UI" w:cs="Segoe UI"/>
          <w:sz w:val="22"/>
          <w:szCs w:val="22"/>
        </w:rPr>
        <w:t xml:space="preserve">, </w:t>
      </w:r>
      <w:r w:rsidRPr="00631656">
        <w:rPr>
          <w:rFonts w:ascii="Segoe UI" w:eastAsia="Arial" w:hAnsi="Segoe UI" w:cs="Segoe UI"/>
          <w:sz w:val="22"/>
          <w:szCs w:val="22"/>
          <w:vertAlign w:val="superscript"/>
        </w:rPr>
        <w:t>†</w:t>
      </w:r>
      <w:r w:rsidRPr="00631656">
        <w:rPr>
          <w:rFonts w:ascii="Segoe UI" w:eastAsia="Arial" w:hAnsi="Segoe UI" w:cs="Segoe UI"/>
          <w:sz w:val="22"/>
          <w:szCs w:val="22"/>
        </w:rPr>
        <w:t>Kohei Ikeda</w:t>
      </w:r>
      <w:r w:rsidRPr="00631656">
        <w:rPr>
          <w:rFonts w:ascii="Segoe UI" w:eastAsia="Arial" w:hAnsi="Segoe UI" w:cs="Segoe UI"/>
          <w:sz w:val="22"/>
          <w:szCs w:val="22"/>
          <w:vertAlign w:val="superscript"/>
        </w:rPr>
        <w:t>1,2</w:t>
      </w:r>
      <w:r w:rsidRPr="00631656">
        <w:rPr>
          <w:rFonts w:ascii="Segoe UI" w:eastAsia="Arial" w:hAnsi="Segoe UI" w:cs="Segoe UI"/>
          <w:sz w:val="22"/>
          <w:szCs w:val="22"/>
        </w:rPr>
        <w:t>, Kengo Nozaki</w:t>
      </w:r>
      <w:r w:rsidRPr="00631656">
        <w:rPr>
          <w:rFonts w:ascii="Segoe UI" w:eastAsia="Arial" w:hAnsi="Segoe UI" w:cs="Segoe UI"/>
          <w:sz w:val="22"/>
          <w:szCs w:val="22"/>
          <w:vertAlign w:val="superscript"/>
        </w:rPr>
        <w:t>1,2</w:t>
      </w:r>
      <w:r w:rsidRPr="00631656">
        <w:rPr>
          <w:rFonts w:ascii="Segoe UI" w:eastAsia="Arial" w:hAnsi="Segoe UI" w:cs="Segoe UI"/>
          <w:sz w:val="22"/>
          <w:szCs w:val="22"/>
        </w:rPr>
        <w:t>, Kenta Takata</w:t>
      </w:r>
      <w:r w:rsidRPr="00631656">
        <w:rPr>
          <w:rFonts w:ascii="Segoe UI" w:eastAsia="Arial" w:hAnsi="Segoe UI" w:cs="Segoe UI"/>
          <w:sz w:val="22"/>
          <w:szCs w:val="22"/>
          <w:vertAlign w:val="superscript"/>
        </w:rPr>
        <w:t>1,2</w:t>
      </w:r>
      <w:r w:rsidRPr="00631656">
        <w:rPr>
          <w:rFonts w:ascii="Segoe UI" w:eastAsia="Arial" w:hAnsi="Segoe UI" w:cs="Segoe UI"/>
          <w:sz w:val="22"/>
          <w:szCs w:val="22"/>
        </w:rPr>
        <w:t>, Kazuo Aoyama</w:t>
      </w:r>
      <w:r w:rsidRPr="00631656">
        <w:rPr>
          <w:rFonts w:ascii="Segoe UI" w:eastAsia="Arial" w:hAnsi="Segoe UI" w:cs="Segoe UI"/>
          <w:sz w:val="22"/>
          <w:szCs w:val="22"/>
          <w:vertAlign w:val="superscript"/>
        </w:rPr>
        <w:t>3</w:t>
      </w:r>
      <w:r w:rsidRPr="00631656">
        <w:rPr>
          <w:rFonts w:ascii="Segoe UI" w:eastAsia="Arial" w:hAnsi="Segoe UI" w:cs="Segoe UI"/>
          <w:sz w:val="22"/>
          <w:szCs w:val="22"/>
        </w:rPr>
        <w:t>, Guangwei</w:t>
      </w:r>
      <w:r w:rsidRPr="00631656">
        <w:rPr>
          <w:rFonts w:ascii="Segoe UI" w:hAnsi="Segoe UI" w:cs="Segoe UI"/>
          <w:sz w:val="22"/>
          <w:szCs w:val="22"/>
        </w:rPr>
        <w:t xml:space="preserve"> </w:t>
      </w:r>
      <w:r w:rsidRPr="00631656">
        <w:rPr>
          <w:rFonts w:ascii="Segoe UI" w:eastAsia="Arial" w:hAnsi="Segoe UI" w:cs="Segoe UI"/>
          <w:sz w:val="22"/>
          <w:szCs w:val="22"/>
        </w:rPr>
        <w:t>Cong</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Keijiro Suzuki</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Yuriko Maegami</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Morifumi Ohno</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Noritsugu Yamamoto</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Koji Yamada</w:t>
      </w:r>
      <w:r w:rsidRPr="00631656">
        <w:rPr>
          <w:rFonts w:ascii="Segoe UI" w:eastAsia="Arial" w:hAnsi="Segoe UI" w:cs="Segoe UI"/>
          <w:sz w:val="22"/>
          <w:szCs w:val="22"/>
          <w:vertAlign w:val="superscript"/>
        </w:rPr>
        <w:t>4</w:t>
      </w:r>
      <w:r w:rsidRPr="00631656">
        <w:rPr>
          <w:rFonts w:ascii="Segoe UI" w:eastAsia="Arial" w:hAnsi="Segoe UI" w:cs="Segoe UI"/>
          <w:sz w:val="22"/>
          <w:szCs w:val="22"/>
        </w:rPr>
        <w:t>, Hiroshi Sawada</w:t>
      </w:r>
      <w:r w:rsidRPr="00631656">
        <w:rPr>
          <w:rFonts w:ascii="Segoe UI" w:eastAsia="Arial" w:hAnsi="Segoe UI" w:cs="Segoe UI"/>
          <w:sz w:val="22"/>
          <w:szCs w:val="22"/>
          <w:vertAlign w:val="superscript"/>
        </w:rPr>
        <w:t>3</w:t>
      </w:r>
      <w:r w:rsidRPr="00631656">
        <w:rPr>
          <w:rFonts w:ascii="Segoe UI" w:eastAsia="Arial" w:hAnsi="Segoe UI" w:cs="Segoe UI"/>
          <w:sz w:val="22"/>
          <w:szCs w:val="22"/>
        </w:rPr>
        <w:t>, Akihiko Shinya</w:t>
      </w:r>
      <w:r w:rsidRPr="00631656">
        <w:rPr>
          <w:rFonts w:ascii="Segoe UI" w:eastAsia="Arial" w:hAnsi="Segoe UI" w:cs="Segoe UI"/>
          <w:sz w:val="22"/>
          <w:szCs w:val="22"/>
          <w:vertAlign w:val="superscript"/>
        </w:rPr>
        <w:t>1,2</w:t>
      </w:r>
      <w:r w:rsidRPr="00631656">
        <w:rPr>
          <w:rFonts w:ascii="Segoe UI" w:eastAsia="Arial" w:hAnsi="Segoe UI" w:cs="Segoe UI"/>
          <w:sz w:val="22"/>
          <w:szCs w:val="22"/>
        </w:rPr>
        <w:t>, and Masaya Notomi</w:t>
      </w:r>
      <w:r w:rsidRPr="00631656">
        <w:rPr>
          <w:rFonts w:ascii="Segoe UI" w:eastAsia="Arial" w:hAnsi="Segoe UI" w:cs="Segoe UI"/>
          <w:sz w:val="22"/>
          <w:szCs w:val="22"/>
          <w:vertAlign w:val="superscript"/>
        </w:rPr>
        <w:t>1,2</w:t>
      </w:r>
    </w:p>
    <w:p w14:paraId="314552B0" w14:textId="77777777" w:rsidR="00631656" w:rsidRPr="00631656" w:rsidRDefault="00631656" w:rsidP="00631656">
      <w:pPr>
        <w:widowControl/>
        <w:adjustRightInd w:val="0"/>
        <w:snapToGrid w:val="0"/>
        <w:contextualSpacing/>
        <w:rPr>
          <w:rFonts w:ascii="Segoe UI" w:hAnsi="Segoe UI" w:cs="Segoe UI"/>
          <w:sz w:val="22"/>
          <w:szCs w:val="22"/>
        </w:rPr>
      </w:pPr>
      <w:r w:rsidRPr="00631656">
        <w:rPr>
          <w:rFonts w:ascii="Segoe UI" w:eastAsia="Arial" w:hAnsi="Segoe UI" w:cs="Segoe UI"/>
          <w:sz w:val="22"/>
          <w:szCs w:val="22"/>
          <w:vertAlign w:val="superscript"/>
        </w:rPr>
        <w:t>1</w:t>
      </w:r>
      <w:r w:rsidRPr="00631656">
        <w:rPr>
          <w:rFonts w:ascii="Segoe UI" w:eastAsia="Arial" w:hAnsi="Segoe UI" w:cs="Segoe UI"/>
          <w:sz w:val="22"/>
          <w:szCs w:val="22"/>
        </w:rPr>
        <w:t xml:space="preserve"> NTT Nanophotonics Center,</w:t>
      </w:r>
      <w:r w:rsidRPr="00631656">
        <w:rPr>
          <w:rFonts w:ascii="Segoe UI" w:hAnsi="Segoe UI" w:cs="Segoe UI"/>
          <w:sz w:val="22"/>
          <w:szCs w:val="22"/>
        </w:rPr>
        <w:t xml:space="preserve">  NTT, Inc.,</w:t>
      </w:r>
      <w:r w:rsidRPr="00631656">
        <w:rPr>
          <w:rFonts w:ascii="Segoe UI" w:eastAsia="Arial" w:hAnsi="Segoe UI" w:cs="Segoe UI"/>
          <w:sz w:val="22"/>
          <w:szCs w:val="22"/>
        </w:rPr>
        <w:t xml:space="preserve"> 3-1 Wakamiya, Morinosato, Atsugi, Kanagawa, 243-0198</w:t>
      </w:r>
      <w:r w:rsidRPr="00631656">
        <w:rPr>
          <w:rFonts w:ascii="Segoe UI" w:hAnsi="Segoe UI" w:cs="Segoe UI"/>
          <w:sz w:val="22"/>
          <w:szCs w:val="22"/>
        </w:rPr>
        <w:t xml:space="preserve">, </w:t>
      </w:r>
      <w:r w:rsidRPr="00631656">
        <w:rPr>
          <w:rFonts w:ascii="Segoe UI" w:eastAsia="Arial" w:hAnsi="Segoe UI" w:cs="Segoe UI"/>
          <w:sz w:val="22"/>
          <w:szCs w:val="22"/>
        </w:rPr>
        <w:t>Japan</w:t>
      </w:r>
    </w:p>
    <w:p w14:paraId="4B81F53D" w14:textId="77777777" w:rsidR="00631656" w:rsidRPr="00631656" w:rsidRDefault="00631656" w:rsidP="00631656">
      <w:pPr>
        <w:widowControl/>
        <w:adjustRightInd w:val="0"/>
        <w:snapToGrid w:val="0"/>
        <w:contextualSpacing/>
        <w:rPr>
          <w:rFonts w:ascii="Segoe UI" w:hAnsi="Segoe UI" w:cs="Segoe UI"/>
          <w:sz w:val="22"/>
          <w:szCs w:val="22"/>
        </w:rPr>
      </w:pPr>
      <w:r w:rsidRPr="00631656">
        <w:rPr>
          <w:rFonts w:ascii="Segoe UI" w:eastAsia="Arial" w:hAnsi="Segoe UI" w:cs="Segoe UI"/>
          <w:sz w:val="22"/>
          <w:szCs w:val="22"/>
          <w:vertAlign w:val="superscript"/>
        </w:rPr>
        <w:t>2</w:t>
      </w:r>
      <w:r w:rsidRPr="00631656">
        <w:rPr>
          <w:rFonts w:ascii="Segoe UI" w:eastAsia="Arial" w:hAnsi="Segoe UI" w:cs="Segoe UI"/>
          <w:sz w:val="22"/>
          <w:szCs w:val="22"/>
        </w:rPr>
        <w:t xml:space="preserve"> Basic Research Laboratories,</w:t>
      </w:r>
      <w:r w:rsidRPr="00631656">
        <w:rPr>
          <w:rFonts w:ascii="Segoe UI" w:hAnsi="Segoe UI" w:cs="Segoe UI"/>
          <w:sz w:val="22"/>
          <w:szCs w:val="22"/>
        </w:rPr>
        <w:t xml:space="preserve"> NTT, Inc.,</w:t>
      </w:r>
      <w:r w:rsidRPr="00631656">
        <w:rPr>
          <w:rFonts w:ascii="Segoe UI" w:eastAsia="Arial" w:hAnsi="Segoe UI" w:cs="Segoe UI"/>
          <w:sz w:val="22"/>
          <w:szCs w:val="22"/>
        </w:rPr>
        <w:t xml:space="preserve"> 3-1 Wakamiya, Morinosato, Atsugi, Kanagawa, 243-0198</w:t>
      </w:r>
      <w:r w:rsidRPr="00631656">
        <w:rPr>
          <w:rFonts w:ascii="Segoe UI" w:hAnsi="Segoe UI" w:cs="Segoe UI"/>
          <w:sz w:val="22"/>
          <w:szCs w:val="22"/>
        </w:rPr>
        <w:t xml:space="preserve">, </w:t>
      </w:r>
      <w:r w:rsidRPr="00631656">
        <w:rPr>
          <w:rFonts w:ascii="Segoe UI" w:eastAsia="Arial" w:hAnsi="Segoe UI" w:cs="Segoe UI"/>
          <w:sz w:val="22"/>
          <w:szCs w:val="22"/>
        </w:rPr>
        <w:t>Japan</w:t>
      </w:r>
    </w:p>
    <w:p w14:paraId="53AA140E" w14:textId="77777777" w:rsidR="00631656" w:rsidRPr="00631656" w:rsidRDefault="00631656" w:rsidP="00631656">
      <w:pPr>
        <w:widowControl/>
        <w:adjustRightInd w:val="0"/>
        <w:snapToGrid w:val="0"/>
        <w:contextualSpacing/>
        <w:rPr>
          <w:rFonts w:ascii="Segoe UI" w:hAnsi="Segoe UI" w:cs="Segoe UI"/>
          <w:sz w:val="22"/>
          <w:szCs w:val="22"/>
        </w:rPr>
      </w:pPr>
      <w:r w:rsidRPr="00631656">
        <w:rPr>
          <w:rFonts w:ascii="Segoe UI" w:eastAsia="Arial" w:hAnsi="Segoe UI" w:cs="Segoe UI"/>
          <w:sz w:val="22"/>
          <w:szCs w:val="22"/>
          <w:vertAlign w:val="superscript"/>
        </w:rPr>
        <w:t>3</w:t>
      </w:r>
      <w:r w:rsidRPr="00631656">
        <w:rPr>
          <w:rFonts w:ascii="Segoe UI" w:eastAsia="Arial" w:hAnsi="Segoe UI" w:cs="Segoe UI"/>
          <w:sz w:val="22"/>
          <w:szCs w:val="22"/>
        </w:rPr>
        <w:t xml:space="preserve"> Communication Science Laboratories</w:t>
      </w:r>
      <w:r w:rsidRPr="00631656">
        <w:rPr>
          <w:rFonts w:ascii="Segoe UI" w:hAnsi="Segoe UI" w:cs="Segoe UI"/>
          <w:sz w:val="22"/>
          <w:szCs w:val="22"/>
        </w:rPr>
        <w:t xml:space="preserve">, NTT, Inc., 2-4, Hikaridai, Seika-cho, Soraku-gun, Kyoto-fu, 619-0237, Japan </w:t>
      </w:r>
    </w:p>
    <w:p w14:paraId="3ED03055" w14:textId="77777777" w:rsidR="00631656" w:rsidRPr="00631656" w:rsidRDefault="00631656" w:rsidP="00631656">
      <w:pPr>
        <w:widowControl/>
        <w:adjustRightInd w:val="0"/>
        <w:snapToGrid w:val="0"/>
        <w:contextualSpacing/>
        <w:rPr>
          <w:rFonts w:ascii="Segoe UI" w:hAnsi="Segoe UI" w:cs="Segoe UI"/>
          <w:sz w:val="22"/>
          <w:szCs w:val="22"/>
        </w:rPr>
      </w:pPr>
      <w:r w:rsidRPr="00631656">
        <w:rPr>
          <w:rFonts w:ascii="Segoe UI" w:eastAsia="Arial" w:hAnsi="Segoe UI" w:cs="Segoe UI"/>
          <w:sz w:val="22"/>
          <w:szCs w:val="22"/>
          <w:vertAlign w:val="superscript"/>
        </w:rPr>
        <w:t>4</w:t>
      </w:r>
      <w:r w:rsidRPr="00631656">
        <w:rPr>
          <w:rFonts w:ascii="Segoe UI" w:eastAsia="Arial" w:hAnsi="Segoe UI" w:cs="Segoe UI"/>
          <w:sz w:val="22"/>
          <w:szCs w:val="22"/>
        </w:rPr>
        <w:t xml:space="preserve"> </w:t>
      </w:r>
      <w:r w:rsidRPr="00631656">
        <w:rPr>
          <w:rFonts w:ascii="Segoe UI" w:hAnsi="Segoe UI" w:cs="Segoe UI"/>
          <w:sz w:val="22"/>
          <w:szCs w:val="22"/>
        </w:rPr>
        <w:t xml:space="preserve">National Institute of </w:t>
      </w:r>
      <w:r w:rsidRPr="00631656">
        <w:rPr>
          <w:rFonts w:ascii="Segoe UI" w:eastAsia="Arial" w:hAnsi="Segoe UI" w:cs="Segoe UI"/>
          <w:sz w:val="22"/>
          <w:szCs w:val="22"/>
        </w:rPr>
        <w:t>Advanced Industrial Science &amp; Technology (AIST)</w:t>
      </w:r>
      <w:r w:rsidRPr="00631656">
        <w:rPr>
          <w:rFonts w:ascii="Segoe UI" w:hAnsi="Segoe UI" w:cs="Segoe UI"/>
          <w:sz w:val="22"/>
          <w:szCs w:val="22"/>
        </w:rPr>
        <w:t>, 16-1 Onogawa, Tsukuba, Ibaraki 305-8569, Japan</w:t>
      </w:r>
    </w:p>
    <w:p w14:paraId="53DAFF26" w14:textId="77777777" w:rsidR="00631656" w:rsidRPr="00631656" w:rsidRDefault="00631656" w:rsidP="00631656">
      <w:pPr>
        <w:widowControl/>
        <w:adjustRightInd w:val="0"/>
        <w:snapToGrid w:val="0"/>
        <w:contextualSpacing/>
        <w:rPr>
          <w:rFonts w:ascii="Segoe UI" w:hAnsi="Segoe UI" w:cs="Segoe UI"/>
          <w:sz w:val="22"/>
          <w:szCs w:val="22"/>
        </w:rPr>
      </w:pPr>
      <w:r w:rsidRPr="00631656">
        <w:rPr>
          <w:rFonts w:ascii="Segoe UI" w:eastAsia="Arial" w:hAnsi="Segoe UI" w:cs="Segoe UI"/>
          <w:sz w:val="22"/>
          <w:szCs w:val="22"/>
        </w:rPr>
        <w:t xml:space="preserve">E-mail: </w:t>
      </w:r>
      <w:hyperlink r:id="rId7" w:history="1">
        <w:r w:rsidRPr="00631656">
          <w:rPr>
            <w:rStyle w:val="af5"/>
            <w:rFonts w:ascii="Segoe UI" w:eastAsia="Arial" w:hAnsi="Segoe UI" w:cs="Segoe UI"/>
            <w:color w:val="auto"/>
            <w:sz w:val="22"/>
            <w:szCs w:val="22"/>
          </w:rPr>
          <w:t>shota.kita@ntt.com</w:t>
        </w:r>
      </w:hyperlink>
      <w:r w:rsidRPr="00631656">
        <w:rPr>
          <w:rFonts w:ascii="Segoe UI" w:eastAsia="Arial" w:hAnsi="Segoe UI" w:cs="Segoe UI"/>
          <w:sz w:val="22"/>
          <w:szCs w:val="22"/>
        </w:rPr>
        <w:t xml:space="preserve">, </w:t>
      </w:r>
      <w:hyperlink r:id="rId8" w:history="1">
        <w:r w:rsidRPr="00631656">
          <w:rPr>
            <w:rStyle w:val="af5"/>
            <w:rFonts w:ascii="Segoe UI" w:eastAsia="Arial" w:hAnsi="Segoe UI" w:cs="Segoe UI"/>
            <w:color w:val="auto"/>
            <w:sz w:val="22"/>
            <w:szCs w:val="22"/>
          </w:rPr>
          <w:t>kohei.ikeda@ntt.com</w:t>
        </w:r>
      </w:hyperlink>
    </w:p>
    <w:p w14:paraId="2C79F970" w14:textId="77777777" w:rsidR="005859B6" w:rsidRPr="00114FCC" w:rsidRDefault="005859B6" w:rsidP="00A52B55">
      <w:pPr>
        <w:widowControl/>
        <w:pBdr>
          <w:top w:val="nil"/>
          <w:left w:val="nil"/>
          <w:bottom w:val="nil"/>
          <w:right w:val="nil"/>
          <w:between w:val="nil"/>
        </w:pBdr>
        <w:adjustRightInd w:val="0"/>
        <w:snapToGrid w:val="0"/>
        <w:rPr>
          <w:rFonts w:ascii="Segoe UI" w:eastAsia="Arial" w:hAnsi="Segoe UI" w:cs="Segoe UI"/>
          <w:sz w:val="22"/>
          <w:szCs w:val="22"/>
        </w:rPr>
      </w:pPr>
    </w:p>
    <w:p w14:paraId="66418898" w14:textId="77777777" w:rsidR="005859B6" w:rsidRPr="00114FCC" w:rsidRDefault="005859B6" w:rsidP="007768FC">
      <w:pPr>
        <w:pStyle w:val="1"/>
      </w:pPr>
      <w:r w:rsidRPr="00114FCC">
        <w:rPr>
          <w:rStyle w:val="10"/>
          <w:b/>
          <w:i/>
        </w:rPr>
        <w:t>S1</w:t>
      </w:r>
      <w:r w:rsidRPr="00114FCC">
        <w:t xml:space="preserve">. </w:t>
      </w:r>
      <w:r w:rsidRPr="00114FCC">
        <w:rPr>
          <w:rFonts w:hint="eastAsia"/>
        </w:rPr>
        <w:t xml:space="preserve">Comparison with </w:t>
      </w:r>
      <w:r w:rsidRPr="00114FCC">
        <w:t>othe</w:t>
      </w:r>
      <w:r w:rsidRPr="00114FCC">
        <w:rPr>
          <w:rFonts w:hint="eastAsia"/>
        </w:rPr>
        <w:t>r reports</w:t>
      </w:r>
    </w:p>
    <w:p w14:paraId="44D68E90" w14:textId="6CF4537E" w:rsidR="00525CE9" w:rsidRPr="00114FCC" w:rsidRDefault="00531ED4" w:rsidP="00A52B55">
      <w:pPr>
        <w:widowControl/>
        <w:adjustRightInd w:val="0"/>
        <w:snapToGrid w:val="0"/>
        <w:rPr>
          <w:rFonts w:ascii="Segoe UI" w:hAnsi="Segoe UI" w:cs="Segoe UI"/>
          <w:sz w:val="22"/>
          <w:szCs w:val="22"/>
        </w:rPr>
      </w:pPr>
      <w:r w:rsidRPr="00114FCC">
        <w:rPr>
          <w:rFonts w:ascii="Segoe UI" w:hAnsi="Segoe UI" w:cs="Segoe UI"/>
          <w:sz w:val="22"/>
          <w:szCs w:val="22"/>
        </w:rPr>
        <w:t xml:space="preserve">Table S1 compares our work with other state-of-the-art photonic computing platforms. Our approach shows a clear advantage by demonstrating that a programmable photonic interferometric vector–matrix multiplier (PIVMM) can carry out matrix-matrix multiplications (MMs) on a complex 16×16 Clements mesh with 64-wavelength </w:t>
      </w:r>
      <w:r w:rsidR="00DC0AFD" w:rsidRPr="00114FCC">
        <w:rPr>
          <w:rFonts w:ascii="Segoe UI" w:hAnsi="Segoe UI" w:cs="Segoe UI"/>
          <w:sz w:val="22"/>
          <w:szCs w:val="22"/>
        </w:rPr>
        <w:t>division multiplexing (</w:t>
      </w:r>
      <w:r w:rsidRPr="00114FCC">
        <w:rPr>
          <w:rFonts w:ascii="Segoe UI" w:hAnsi="Segoe UI" w:cs="Segoe UI"/>
          <w:sz w:val="22"/>
          <w:szCs w:val="22"/>
        </w:rPr>
        <w:t>WDM</w:t>
      </w:r>
      <w:r w:rsidR="00DC0AFD" w:rsidRPr="00114FCC">
        <w:rPr>
          <w:rFonts w:ascii="Segoe UI" w:hAnsi="Segoe UI" w:cs="Segoe UI"/>
          <w:sz w:val="22"/>
          <w:szCs w:val="22"/>
        </w:rPr>
        <w:t>)</w:t>
      </w:r>
      <w:r w:rsidRPr="00114FCC">
        <w:rPr>
          <w:rFonts w:ascii="Segoe UI" w:hAnsi="Segoe UI" w:cs="Segoe UI"/>
          <w:sz w:val="22"/>
          <w:szCs w:val="22"/>
        </w:rPr>
        <w:t>, and by experimentally realizing purely on-chip neural-network (NN) inference driven only by photonic computing (achieving almost the same MNIST accuracy as an ideal circuit with 0% electronic contribution). Whereas existing interference-mesh systems are either limited to sizes of 10×10 or smaller without WDM (# of WDM = 1), or require off-chip electronics for a substantial portion of the computation, we suppress crosstalk via calibration based on iterative disorder</w:t>
      </w:r>
      <w:r w:rsidRPr="00114FCC">
        <w:rPr>
          <w:rFonts w:ascii="Segoe UI" w:hAnsi="Segoe UI" w:cs="Segoe UI"/>
          <w:sz w:val="22"/>
          <w:szCs w:val="22"/>
        </w:rPr>
        <w:noBreakHyphen/>
        <w:t>aware circuit</w:t>
      </w:r>
      <w:r w:rsidRPr="00114FCC">
        <w:rPr>
          <w:rFonts w:ascii="Segoe UI" w:hAnsi="Segoe UI" w:cs="Segoe UI"/>
          <w:sz w:val="22"/>
          <w:szCs w:val="22"/>
        </w:rPr>
        <w:noBreakHyphen/>
        <w:t>model learning (CPL), stably operate a large-scale chip with 288 control pins, and achieve both WDM-based throughput scaling and purely optical computation. To the best of our knowledge, this is the first experimental demonstration of an on-chip photonic computing platform that simultaneously combines a large interferometric mesh, multi-wavelength parallelism, and an electronics-independent MNIST inference demonstration.</w:t>
      </w:r>
    </w:p>
    <w:p w14:paraId="5DC2B3B7" w14:textId="77777777" w:rsidR="00531ED4" w:rsidRPr="00114FCC" w:rsidRDefault="00531ED4" w:rsidP="00A52B55">
      <w:pPr>
        <w:widowControl/>
        <w:adjustRightInd w:val="0"/>
        <w:snapToGrid w:val="0"/>
        <w:rPr>
          <w:rFonts w:ascii="Segoe UI" w:hAnsi="Segoe UI" w:cs="Segoe UI"/>
          <w:sz w:val="22"/>
          <w:szCs w:val="22"/>
        </w:rPr>
      </w:pPr>
    </w:p>
    <w:p w14:paraId="11073AD8" w14:textId="0F74EBE3" w:rsidR="0027419C" w:rsidRPr="00114FCC" w:rsidRDefault="00531ED4" w:rsidP="00A52B55">
      <w:pPr>
        <w:widowControl/>
        <w:adjustRightInd w:val="0"/>
        <w:snapToGrid w:val="0"/>
        <w:rPr>
          <w:rFonts w:ascii="Segoe UI" w:hAnsi="Segoe UI" w:cs="Segoe UI"/>
          <w:sz w:val="22"/>
          <w:szCs w:val="22"/>
        </w:rPr>
      </w:pPr>
      <w:r w:rsidRPr="00114FCC">
        <w:rPr>
          <w:rFonts w:ascii="Segoe UI" w:hAnsi="Segoe UI" w:cs="Segoe UI"/>
          <w:sz w:val="22"/>
          <w:szCs w:val="22"/>
        </w:rPr>
        <w:t>Recently, a power-efficient photonic–electronic converged VMM processor with a 128</w:t>
      </w:r>
      <w:r w:rsidR="00577ABF" w:rsidRPr="00114FCC">
        <w:rPr>
          <w:rFonts w:ascii="Segoe UI" w:hAnsi="Segoe UI" w:cs="Segoe UI" w:hint="eastAsia"/>
          <w:sz w:val="22"/>
          <w:szCs w:val="22"/>
        </w:rPr>
        <w:t xml:space="preserve"> </w:t>
      </w:r>
      <w:r w:rsidRPr="00114FCC">
        <w:rPr>
          <w:rFonts w:ascii="Segoe UI" w:hAnsi="Segoe UI" w:cs="Segoe UI"/>
          <w:sz w:val="22"/>
          <w:szCs w:val="22"/>
        </w:rPr>
        <w:t>×</w:t>
      </w:r>
      <w:r w:rsidR="00577ABF" w:rsidRPr="00114FCC">
        <w:rPr>
          <w:rFonts w:ascii="Segoe UI" w:hAnsi="Segoe UI" w:cs="Segoe UI" w:hint="eastAsia"/>
          <w:sz w:val="22"/>
          <w:szCs w:val="22"/>
        </w:rPr>
        <w:t xml:space="preserve"> </w:t>
      </w:r>
      <w:r w:rsidRPr="00114FCC">
        <w:rPr>
          <w:rFonts w:ascii="Segoe UI" w:hAnsi="Segoe UI" w:cs="Segoe UI"/>
          <w:sz w:val="22"/>
          <w:szCs w:val="22"/>
        </w:rPr>
        <w:t>128</w:t>
      </w:r>
      <w:r w:rsidR="00577ABF" w:rsidRPr="00114FCC">
        <w:rPr>
          <w:rFonts w:ascii="Segoe UI" w:hAnsi="Segoe UI" w:cs="Segoe UI" w:hint="eastAsia"/>
          <w:sz w:val="22"/>
          <w:szCs w:val="22"/>
        </w:rPr>
        <w:t xml:space="preserve"> </w:t>
      </w:r>
      <w:r w:rsidRPr="00114FCC">
        <w:rPr>
          <w:rFonts w:ascii="Segoe UI" w:hAnsi="Segoe UI" w:cs="Segoe UI"/>
          <w:sz w:val="22"/>
          <w:szCs w:val="22"/>
        </w:rPr>
        <w:t>×</w:t>
      </w:r>
      <w:r w:rsidR="00577ABF" w:rsidRPr="00114FCC">
        <w:rPr>
          <w:rFonts w:ascii="Segoe UI" w:hAnsi="Segoe UI" w:cs="Segoe UI" w:hint="eastAsia"/>
          <w:sz w:val="22"/>
          <w:szCs w:val="22"/>
        </w:rPr>
        <w:t xml:space="preserve"> </w:t>
      </w:r>
      <w:r w:rsidRPr="00114FCC">
        <w:rPr>
          <w:rFonts w:ascii="Segoe UI" w:hAnsi="Segoe UI" w:cs="Segoe UI"/>
          <w:sz w:val="22"/>
          <w:szCs w:val="22"/>
        </w:rPr>
        <w:t>4 architecture has been demonstrated</w:t>
      </w:r>
      <w:sdt>
        <w:sdtPr>
          <w:rPr>
            <w:rFonts w:ascii="Segoe UI" w:hAnsi="Segoe UI" w:cs="Segoe UI"/>
            <w:sz w:val="22"/>
            <w:szCs w:val="22"/>
          </w:rPr>
          <w:alias w:val="SmartCite Citation"/>
          <w:tag w:val="975c6539-032a-43e3-86b0-19b9e8f3d75f:c2b8403b-e8e2-4008-91e4-4f75c071b243+"/>
          <w:id w:val="1828941888"/>
          <w:placeholder>
            <w:docPart w:val="9C673C39DC314974B8A7CF9201B0E0AB"/>
          </w:placeholder>
        </w:sdtPr>
        <w:sdtEndPr/>
        <w:sdtContent>
          <w:r w:rsidR="00E855F6" w:rsidRPr="00114FCC">
            <w:rPr>
              <w:rFonts w:ascii="Segoe UI" w:hAnsi="Segoe UI" w:cs="Segoe UI"/>
              <w:sz w:val="22"/>
              <w:vertAlign w:val="superscript"/>
            </w:rPr>
            <w:t>1</w:t>
          </w:r>
        </w:sdtContent>
      </w:sdt>
      <w:r w:rsidRPr="00114FCC">
        <w:rPr>
          <w:rFonts w:ascii="Segoe UI" w:hAnsi="Segoe UI" w:cs="Segoe UI"/>
          <w:sz w:val="22"/>
          <w:szCs w:val="22"/>
        </w:rPr>
        <w:t xml:space="preserve">. </w:t>
      </w:r>
      <w:r w:rsidR="009C3FA4" w:rsidRPr="00114FCC">
        <w:rPr>
          <w:rFonts w:ascii="Segoe UI" w:hAnsi="Segoe UI" w:cs="Segoe UI"/>
          <w:sz w:val="22"/>
          <w:szCs w:val="22"/>
        </w:rPr>
        <w:t xml:space="preserve">In the referenced work, </w:t>
      </w:r>
      <w:r w:rsidR="009C3FA4" w:rsidRPr="00114FCC">
        <w:rPr>
          <w:rFonts w:ascii="Segoe UI" w:hAnsi="Segoe UI" w:cs="Segoe UI" w:hint="eastAsia"/>
          <w:sz w:val="22"/>
          <w:szCs w:val="22"/>
        </w:rPr>
        <w:t>photo</w:t>
      </w:r>
      <w:r w:rsidR="007C1614" w:rsidRPr="00114FCC">
        <w:rPr>
          <w:rFonts w:ascii="Segoe UI" w:hAnsi="Segoe UI" w:cs="Segoe UI" w:hint="eastAsia"/>
          <w:sz w:val="22"/>
          <w:szCs w:val="22"/>
        </w:rPr>
        <w:t>nic circuits</w:t>
      </w:r>
      <w:r w:rsidR="009C3FA4" w:rsidRPr="00114FCC">
        <w:rPr>
          <w:rFonts w:ascii="Segoe UI" w:hAnsi="Segoe UI" w:cs="Segoe UI"/>
          <w:sz w:val="22"/>
          <w:szCs w:val="22"/>
        </w:rPr>
        <w:t xml:space="preserve"> </w:t>
      </w:r>
      <w:r w:rsidR="007C1614" w:rsidRPr="00114FCC">
        <w:rPr>
          <w:rFonts w:ascii="Segoe UI" w:hAnsi="Segoe UI" w:cs="Segoe UI" w:hint="eastAsia"/>
          <w:sz w:val="22"/>
          <w:szCs w:val="22"/>
        </w:rPr>
        <w:t>are</w:t>
      </w:r>
      <w:r w:rsidR="009C3FA4" w:rsidRPr="00114FCC">
        <w:rPr>
          <w:rFonts w:ascii="Segoe UI" w:hAnsi="Segoe UI" w:cs="Segoe UI"/>
          <w:sz w:val="22"/>
          <w:szCs w:val="22"/>
        </w:rPr>
        <w:t xml:space="preserve"> used only for the generation of optical signals and their duplication (fan-out), while all subsequent multiply–accumulate operations are carried out in the electrical domain. As a result, WDM cannot be efficiently exploited in the matrix computation stage, and scaling the matrix size requires a proportional increase in circuit complexity. In contrast, in our architecture, matrix operations at multiple wavelengths are performed simultaneously within a single interferometer. As described in the main text, the availability of multi-wavelength input/output enables the extension of WDM to the matrix computation itself</w:t>
      </w:r>
      <w:r w:rsidR="00F66861" w:rsidRPr="00114FCC">
        <w:rPr>
          <w:rFonts w:ascii="Segoe UI" w:hAnsi="Segoe UI" w:cs="Segoe UI" w:hint="eastAsia"/>
          <w:sz w:val="22"/>
          <w:szCs w:val="22"/>
        </w:rPr>
        <w:t xml:space="preserve"> much more efficiently</w:t>
      </w:r>
      <w:r w:rsidR="009C3FA4" w:rsidRPr="00114FCC">
        <w:rPr>
          <w:rFonts w:ascii="Segoe UI" w:hAnsi="Segoe UI" w:cs="Segoe UI"/>
          <w:sz w:val="22"/>
          <w:szCs w:val="22"/>
        </w:rPr>
        <w:t>.</w:t>
      </w:r>
      <w:r w:rsidR="00D74B9B" w:rsidRPr="00114FCC">
        <w:rPr>
          <w:rFonts w:ascii="Segoe UI" w:hAnsi="Segoe UI" w:cs="Segoe UI"/>
          <w:sz w:val="22"/>
          <w:szCs w:val="22"/>
        </w:rPr>
        <w:t xml:space="preserve"> Other approaches implement WDM weighting using microring-filter banks</w:t>
      </w:r>
      <w:sdt>
        <w:sdtPr>
          <w:rPr>
            <w:rFonts w:ascii="Segoe UI" w:hAnsi="Segoe UI" w:cs="Segoe UI"/>
            <w:sz w:val="22"/>
            <w:szCs w:val="22"/>
            <w:vertAlign w:val="superscript"/>
          </w:rPr>
          <w:alias w:val="SmartCite Citation"/>
          <w:tag w:val="975c6539-032a-43e3-86b0-19b9e8f3d75f:0b99bd14-e17c-44b5-881c-64aa517539ba,975c6539-032a-43e3-86b0-19b9e8f3d75f:be5ea686-4c60-4f77-bb6e-24587c191118,975c6539-032a-43e3-86b0-19b9e8f3d75f:729a973e-177b-4738-b987-7f57281b8a0c,975c6539-032a-43e3-86b0-19b9e8f3d75f:76689a23-c8f4-4551-ab69-b539d049b458,975c6539-032a-43e3-86b0-19b9e8f3d75f:c9395554-a4e4-4391-99c5-c85a4525b03d+"/>
          <w:id w:val="-1894188525"/>
          <w:placeholder>
            <w:docPart w:val="9C673C39DC314974B8A7CF9201B0E0AB"/>
          </w:placeholder>
        </w:sdtPr>
        <w:sdtEndPr/>
        <w:sdtContent>
          <w:r w:rsidR="00E855F6" w:rsidRPr="00114FCC">
            <w:rPr>
              <w:rFonts w:ascii="Segoe UI" w:hAnsi="Segoe UI" w:cs="Segoe UI"/>
              <w:sz w:val="22"/>
              <w:vertAlign w:val="superscript"/>
            </w:rPr>
            <w:t>2–6</w:t>
          </w:r>
        </w:sdtContent>
      </w:sdt>
      <w:r w:rsidR="00BA5E4A" w:rsidRPr="00114FCC">
        <w:rPr>
          <w:rFonts w:ascii="Segoe UI" w:hAnsi="Segoe UI" w:cs="Segoe UI"/>
          <w:sz w:val="22"/>
          <w:szCs w:val="22"/>
        </w:rPr>
        <w:t>,</w:t>
      </w:r>
      <w:r w:rsidR="00F050CC" w:rsidRPr="00114FCC">
        <w:rPr>
          <w:rFonts w:ascii="Segoe UI" w:hAnsi="Segoe UI" w:cs="Segoe UI"/>
          <w:sz w:val="22"/>
          <w:szCs w:val="22"/>
        </w:rPr>
        <w:t xml:space="preserve"> </w:t>
      </w:r>
      <w:r w:rsidR="00D74B9B" w:rsidRPr="00114FCC">
        <w:rPr>
          <w:rFonts w:ascii="Segoe UI" w:hAnsi="Segoe UI" w:cs="Segoe UI"/>
          <w:sz w:val="22"/>
          <w:szCs w:val="22"/>
        </w:rPr>
        <w:t>or WDM crossbar arrays with deposited phase-change materials</w:t>
      </w:r>
      <w:sdt>
        <w:sdtPr>
          <w:rPr>
            <w:rFonts w:ascii="Segoe UI" w:hAnsi="Segoe UI" w:cs="Segoe UI"/>
            <w:sz w:val="22"/>
            <w:szCs w:val="22"/>
            <w:vertAlign w:val="superscript"/>
          </w:rPr>
          <w:alias w:val="SmartCite Citation"/>
          <w:tag w:val="975c6539-032a-43e3-86b0-19b9e8f3d75f:ec11dbc8-f287-4360-bee3-54b1369b414c,975c6539-032a-43e3-86b0-19b9e8f3d75f:4b64f97d-5f6e-466a-a38d-662b523d49aa,975c6539-032a-43e3-86b0-19b9e8f3d75f:7f9827e0-4554-4a98-9b9b-d0a3d5823428,975c6539-032a-43e3-86b0-19b9e8f3d75f:1d1c55e6-64c5-493e-bea8-7e1c10264e6b+"/>
          <w:id w:val="589441430"/>
          <w:placeholder>
            <w:docPart w:val="9C673C39DC314974B8A7CF9201B0E0AB"/>
          </w:placeholder>
        </w:sdtPr>
        <w:sdtEndPr/>
        <w:sdtContent>
          <w:r w:rsidR="00E855F6" w:rsidRPr="00114FCC">
            <w:rPr>
              <w:rFonts w:ascii="Segoe UI" w:hAnsi="Segoe UI" w:cs="Segoe UI"/>
              <w:sz w:val="22"/>
              <w:vertAlign w:val="superscript"/>
            </w:rPr>
            <w:t>7–10</w:t>
          </w:r>
        </w:sdtContent>
      </w:sdt>
      <w:r w:rsidR="00BA5E4A" w:rsidRPr="00114FCC">
        <w:rPr>
          <w:rFonts w:ascii="Segoe UI" w:hAnsi="Segoe UI" w:cs="Segoe UI"/>
          <w:sz w:val="22"/>
          <w:szCs w:val="22"/>
        </w:rPr>
        <w:t xml:space="preserve">. </w:t>
      </w:r>
      <w:r w:rsidR="00D74B9B" w:rsidRPr="00114FCC">
        <w:rPr>
          <w:rFonts w:ascii="Segoe UI" w:hAnsi="Segoe UI" w:cs="Segoe UI"/>
          <w:sz w:val="22"/>
          <w:szCs w:val="22"/>
        </w:rPr>
        <w:t>These schemes are attractive for density, but the required resonant filtering and additional material loss mean that they are not optimal for maximizing power throughput.</w:t>
      </w:r>
    </w:p>
    <w:p w14:paraId="28E4C670" w14:textId="77777777" w:rsidR="0027419C" w:rsidRPr="00114FCC" w:rsidRDefault="0027419C" w:rsidP="00A52B55">
      <w:pPr>
        <w:widowControl/>
        <w:adjustRightInd w:val="0"/>
        <w:snapToGrid w:val="0"/>
        <w:rPr>
          <w:rFonts w:ascii="Segoe UI" w:hAnsi="Segoe UI" w:cs="Segoe UI"/>
          <w:sz w:val="22"/>
          <w:szCs w:val="22"/>
        </w:rPr>
      </w:pPr>
    </w:p>
    <w:p w14:paraId="19848250" w14:textId="6C0EC88F" w:rsidR="00810EBA" w:rsidRPr="00114FCC" w:rsidRDefault="00D74B9B" w:rsidP="00114FCC">
      <w:pPr>
        <w:widowControl/>
        <w:adjustRightInd w:val="0"/>
        <w:snapToGrid w:val="0"/>
        <w:rPr>
          <w:rFonts w:ascii="Segoe UI" w:hAnsi="Segoe UI" w:cs="Segoe UI"/>
          <w:kern w:val="2"/>
          <w:sz w:val="22"/>
          <w:szCs w:val="22"/>
        </w:rPr>
      </w:pPr>
      <w:r w:rsidRPr="00114FCC">
        <w:rPr>
          <w:rFonts w:ascii="Segoe UI" w:hAnsi="Segoe UI" w:cs="Segoe UI"/>
          <w:kern w:val="2"/>
          <w:sz w:val="22"/>
          <w:szCs w:val="22"/>
        </w:rPr>
        <w:t>With respect to the WDM operation reported by Yu et al.</w:t>
      </w:r>
      <w:sdt>
        <w:sdtPr>
          <w:rPr>
            <w:rFonts w:ascii="Segoe UI" w:hAnsi="Segoe UI" w:cs="Segoe UI"/>
            <w:kern w:val="2"/>
            <w:sz w:val="22"/>
            <w:szCs w:val="22"/>
          </w:rPr>
          <w:alias w:val="SmartCite Citation"/>
          <w:tag w:val="975c6539-032a-43e3-86b0-19b9e8f3d75f:dd851838-85eb-49ca-8fbb-b7c88f668399+"/>
          <w:id w:val="784458479"/>
          <w:placeholder>
            <w:docPart w:val="DefaultPlaceholder_-1854013440"/>
          </w:placeholder>
        </w:sdtPr>
        <w:sdtEndPr/>
        <w:sdtContent>
          <w:r w:rsidR="00E855F6" w:rsidRPr="00114FCC">
            <w:rPr>
              <w:rFonts w:ascii="Segoe UI" w:hAnsi="Segoe UI" w:cs="Segoe UI"/>
              <w:sz w:val="22"/>
              <w:vertAlign w:val="superscript"/>
            </w:rPr>
            <w:t>11</w:t>
          </w:r>
        </w:sdtContent>
      </w:sdt>
      <w:r w:rsidR="00E855F6" w:rsidRPr="00114FCC">
        <w:rPr>
          <w:rFonts w:ascii="Segoe UI" w:hAnsi="Segoe UI" w:cs="Segoe UI" w:hint="eastAsia"/>
          <w:kern w:val="2"/>
          <w:sz w:val="22"/>
          <w:szCs w:val="22"/>
        </w:rPr>
        <w:t> </w:t>
      </w:r>
      <w:r w:rsidRPr="00114FCC">
        <w:rPr>
          <w:rFonts w:ascii="Segoe UI" w:hAnsi="Segoe UI" w:cs="Segoe UI"/>
          <w:kern w:val="2"/>
          <w:sz w:val="22"/>
          <w:szCs w:val="22"/>
        </w:rPr>
        <w:t xml:space="preserve">, it is important to clarify the actual extent of the experimental validation. Their demonstrated circuit scale is 5×5, which is still far from the matrix sizes needed for practically relevant on-chip photonic computing. Although the paper highlights “100-wavelength” parallelism, the consistency/compensation study is performed on only 20 wavelengths (as listed in Table S1) and is validated for just three random matrices, which is insufficient to support a strong scalability claim. The reported random-matrix fidelity of 0.907 is obtained at </w:t>
      </w:r>
      <w:r w:rsidR="002A3CAE" w:rsidRPr="00114FCC">
        <w:rPr>
          <w:rFonts w:ascii="Segoe UI" w:hAnsi="Segoe UI" w:cs="Segoe UI" w:hint="eastAsia"/>
          <w:kern w:val="2"/>
          <w:sz w:val="22"/>
          <w:szCs w:val="22"/>
        </w:rPr>
        <w:t>the</w:t>
      </w:r>
      <w:r w:rsidRPr="00114FCC">
        <w:rPr>
          <w:rFonts w:ascii="Segoe UI" w:hAnsi="Segoe UI" w:cs="Segoe UI"/>
          <w:kern w:val="2"/>
          <w:sz w:val="22"/>
          <w:szCs w:val="22"/>
        </w:rPr>
        <w:t xml:space="preserve"> </w:t>
      </w:r>
      <w:r w:rsidR="002A3CAE" w:rsidRPr="00114FCC">
        <w:rPr>
          <w:rFonts w:ascii="Segoe UI" w:hAnsi="Segoe UI" w:cs="Segoe UI" w:hint="eastAsia"/>
          <w:kern w:val="2"/>
          <w:sz w:val="22"/>
          <w:szCs w:val="22"/>
        </w:rPr>
        <w:t>calibrated</w:t>
      </w:r>
      <w:r w:rsidRPr="00114FCC">
        <w:rPr>
          <w:rFonts w:ascii="Segoe UI" w:hAnsi="Segoe UI" w:cs="Segoe UI"/>
          <w:kern w:val="2"/>
          <w:sz w:val="22"/>
          <w:szCs w:val="22"/>
        </w:rPr>
        <w:t xml:space="preserve"> wavelength, and no convincing experimental evidence is </w:t>
      </w:r>
      <w:r w:rsidRPr="00114FCC">
        <w:rPr>
          <w:rFonts w:ascii="Segoe UI" w:hAnsi="Segoe UI" w:cs="Segoe UI"/>
          <w:kern w:val="2"/>
          <w:sz w:val="22"/>
          <w:szCs w:val="22"/>
        </w:rPr>
        <w:lastRenderedPageBreak/>
        <w:t>provided that comparable fidelity is maintained across a truly broadband, 100-channel regime. Finally, no NN task</w:t>
      </w:r>
      <w:r w:rsidR="00174385" w:rsidRPr="00114FCC">
        <w:rPr>
          <w:rFonts w:ascii="Segoe UI" w:hAnsi="Segoe UI" w:cs="Segoe UI" w:hint="eastAsia"/>
          <w:kern w:val="2"/>
          <w:sz w:val="22"/>
          <w:szCs w:val="22"/>
        </w:rPr>
        <w:t xml:space="preserve"> based on VMM operations</w:t>
      </w:r>
      <w:r w:rsidRPr="00114FCC">
        <w:rPr>
          <w:rFonts w:ascii="Segoe UI" w:hAnsi="Segoe UI" w:cs="Segoe UI"/>
          <w:kern w:val="2"/>
          <w:sz w:val="22"/>
          <w:szCs w:val="22"/>
        </w:rPr>
        <w:t xml:space="preserve"> is experimentally demonstrated, so the</w:t>
      </w:r>
      <w:r w:rsidR="00181F30" w:rsidRPr="00114FCC">
        <w:rPr>
          <w:rFonts w:ascii="Segoe UI" w:hAnsi="Segoe UI" w:cs="Segoe UI" w:hint="eastAsia"/>
          <w:kern w:val="2"/>
          <w:sz w:val="22"/>
          <w:szCs w:val="22"/>
        </w:rPr>
        <w:t xml:space="preserve"> benchmarking for the </w:t>
      </w:r>
      <w:r w:rsidR="009C35CA" w:rsidRPr="00114FCC">
        <w:rPr>
          <w:rFonts w:ascii="Segoe UI" w:hAnsi="Segoe UI" w:cs="Segoe UI" w:hint="eastAsia"/>
          <w:kern w:val="2"/>
          <w:sz w:val="22"/>
          <w:szCs w:val="22"/>
        </w:rPr>
        <w:t xml:space="preserve">analog </w:t>
      </w:r>
      <w:r w:rsidR="00912C1F" w:rsidRPr="00114FCC">
        <w:rPr>
          <w:rFonts w:ascii="Segoe UI" w:hAnsi="Segoe UI" w:cs="Segoe UI" w:hint="eastAsia"/>
          <w:kern w:val="2"/>
          <w:sz w:val="22"/>
          <w:szCs w:val="22"/>
        </w:rPr>
        <w:t>VMM</w:t>
      </w:r>
      <w:r w:rsidR="009C35CA" w:rsidRPr="00114FCC">
        <w:rPr>
          <w:rFonts w:ascii="Segoe UI" w:hAnsi="Segoe UI" w:cs="Segoe UI" w:hint="eastAsia"/>
          <w:kern w:val="2"/>
          <w:sz w:val="22"/>
          <w:szCs w:val="22"/>
        </w:rPr>
        <w:t xml:space="preserve"> and MMM</w:t>
      </w:r>
      <w:r w:rsidR="00181F30" w:rsidRPr="00114FCC">
        <w:rPr>
          <w:rFonts w:ascii="Segoe UI" w:hAnsi="Segoe UI" w:cs="Segoe UI" w:hint="eastAsia"/>
          <w:kern w:val="2"/>
          <w:sz w:val="22"/>
          <w:szCs w:val="22"/>
        </w:rPr>
        <w:t xml:space="preserve"> operation</w:t>
      </w:r>
      <w:r w:rsidR="009C35CA" w:rsidRPr="00114FCC">
        <w:rPr>
          <w:rFonts w:ascii="Segoe UI" w:hAnsi="Segoe UI" w:cs="Segoe UI" w:hint="eastAsia"/>
          <w:kern w:val="2"/>
          <w:sz w:val="22"/>
          <w:szCs w:val="22"/>
        </w:rPr>
        <w:t>s</w:t>
      </w:r>
      <w:r w:rsidR="00181F30" w:rsidRPr="00114FCC">
        <w:rPr>
          <w:rFonts w:ascii="Segoe UI" w:hAnsi="Segoe UI" w:cs="Segoe UI" w:hint="eastAsia"/>
          <w:kern w:val="2"/>
          <w:sz w:val="22"/>
          <w:szCs w:val="22"/>
        </w:rPr>
        <w:t xml:space="preserve"> is </w:t>
      </w:r>
      <w:r w:rsidR="00774C9E" w:rsidRPr="00114FCC">
        <w:rPr>
          <w:rFonts w:ascii="Segoe UI" w:hAnsi="Segoe UI" w:cs="Segoe UI" w:hint="eastAsia"/>
          <w:kern w:val="2"/>
          <w:sz w:val="22"/>
          <w:szCs w:val="22"/>
        </w:rPr>
        <w:t>in</w:t>
      </w:r>
      <w:r w:rsidR="00181F30" w:rsidRPr="00114FCC">
        <w:rPr>
          <w:rFonts w:ascii="Segoe UI" w:hAnsi="Segoe UI" w:cs="Segoe UI" w:hint="eastAsia"/>
          <w:kern w:val="2"/>
          <w:sz w:val="22"/>
          <w:szCs w:val="22"/>
        </w:rPr>
        <w:t>sufficient</w:t>
      </w:r>
      <w:r w:rsidRPr="00114FCC">
        <w:rPr>
          <w:rFonts w:ascii="Segoe UI" w:hAnsi="Segoe UI" w:cs="Segoe UI"/>
          <w:kern w:val="2"/>
          <w:sz w:val="22"/>
          <w:szCs w:val="22"/>
        </w:rPr>
        <w:t>.</w:t>
      </w:r>
    </w:p>
    <w:p w14:paraId="1E183677" w14:textId="27D46603" w:rsidR="00810EBA" w:rsidRPr="00114FCC" w:rsidRDefault="00A1292D" w:rsidP="007768FC">
      <w:pPr>
        <w:pStyle w:val="1"/>
        <w:rPr>
          <w:rFonts w:eastAsiaTheme="minorEastAsia"/>
        </w:rPr>
      </w:pPr>
      <w:r w:rsidRPr="00114FCC">
        <w:rPr>
          <w:bCs/>
        </w:rPr>
        <w:t>S</w:t>
      </w:r>
      <w:r w:rsidR="00810EBA" w:rsidRPr="00114FCC">
        <w:rPr>
          <w:bCs/>
        </w:rPr>
        <w:t>2</w:t>
      </w:r>
      <w:r w:rsidRPr="00114FCC">
        <w:rPr>
          <w:bCs/>
        </w:rPr>
        <w:t>.</w:t>
      </w:r>
      <w:r w:rsidRPr="00114FCC">
        <w:t xml:space="preserve"> </w:t>
      </w:r>
      <w:r w:rsidR="000A7438" w:rsidRPr="00114FCC">
        <w:t>Deterministic calibration for binary-valued matrix operation</w:t>
      </w:r>
    </w:p>
    <w:p w14:paraId="576F7C21" w14:textId="166CA420" w:rsidR="00E67DC8" w:rsidRPr="00114FCC" w:rsidRDefault="00D726E8" w:rsidP="007768FC">
      <w:pPr>
        <w:widowControl/>
        <w:pBdr>
          <w:top w:val="nil"/>
          <w:left w:val="nil"/>
          <w:bottom w:val="nil"/>
          <w:right w:val="nil"/>
          <w:between w:val="nil"/>
        </w:pBdr>
        <w:adjustRightInd w:val="0"/>
        <w:snapToGrid w:val="0"/>
        <w:rPr>
          <w:rFonts w:ascii="Segoe UI" w:hAnsi="Segoe UI" w:cs="Segoe UI"/>
          <w:sz w:val="22"/>
          <w:szCs w:val="22"/>
        </w:rPr>
      </w:pPr>
      <w:r w:rsidRPr="00114FCC">
        <w:rPr>
          <w:rFonts w:ascii="Segoe UI" w:hAnsi="Segoe UI" w:cs="Segoe UI"/>
          <w:sz w:val="22"/>
          <w:szCs w:val="22"/>
        </w:rPr>
        <w:t xml:space="preserve">Even with </w:t>
      </w:r>
      <w:r w:rsidR="00F155DC" w:rsidRPr="00114FCC">
        <w:rPr>
          <w:rFonts w:ascii="Segoe UI" w:hAnsi="Segoe UI" w:cs="Segoe UI" w:hint="eastAsia"/>
          <w:sz w:val="22"/>
          <w:szCs w:val="22"/>
        </w:rPr>
        <w:t xml:space="preserve">an </w:t>
      </w:r>
      <w:r w:rsidRPr="00114FCC">
        <w:rPr>
          <w:rFonts w:ascii="Segoe UI" w:hAnsi="Segoe UI" w:cs="Segoe UI"/>
          <w:sz w:val="22"/>
          <w:szCs w:val="22"/>
        </w:rPr>
        <w:t xml:space="preserve">identical optical </w:t>
      </w:r>
      <w:r w:rsidR="00F155DC" w:rsidRPr="00114FCC">
        <w:rPr>
          <w:rFonts w:ascii="Segoe UI" w:hAnsi="Segoe UI" w:cs="Segoe UI" w:hint="eastAsia"/>
          <w:sz w:val="22"/>
          <w:szCs w:val="22"/>
        </w:rPr>
        <w:t>routing design</w:t>
      </w:r>
      <w:r w:rsidRPr="00114FCC">
        <w:rPr>
          <w:rFonts w:ascii="Segoe UI" w:hAnsi="Segoe UI" w:cs="Segoe UI"/>
          <w:sz w:val="22"/>
          <w:szCs w:val="22"/>
        </w:rPr>
        <w:t xml:space="preserve">, fabrication induces initial phase offsets and nonuniform </w:t>
      </w:r>
      <w:r w:rsidR="00F050CC" w:rsidRPr="00114FCC">
        <w:rPr>
          <w:rFonts w:ascii="Segoe UI" w:hAnsi="Segoe UI" w:cs="Segoe UI"/>
          <w:sz w:val="22"/>
          <w:szCs w:val="22"/>
        </w:rPr>
        <w:t>PS</w:t>
      </w:r>
      <w:r w:rsidRPr="00114FCC">
        <w:rPr>
          <w:rFonts w:ascii="Segoe UI" w:hAnsi="Segoe UI" w:cs="Segoe UI"/>
          <w:sz w:val="22"/>
          <w:szCs w:val="22"/>
        </w:rPr>
        <w:t xml:space="preserve"> efficiencies, so we first performed deterministic calibration (Fig. S</w:t>
      </w:r>
      <w:r w:rsidR="00810EBA" w:rsidRPr="00114FCC">
        <w:rPr>
          <w:rFonts w:ascii="Segoe UI" w:hAnsi="Segoe UI" w:cs="Segoe UI"/>
          <w:sz w:val="22"/>
          <w:szCs w:val="22"/>
        </w:rPr>
        <w:t>1</w:t>
      </w:r>
      <w:r w:rsidRPr="00114FCC">
        <w:rPr>
          <w:rFonts w:ascii="Segoe UI" w:hAnsi="Segoe UI" w:cs="Segoe UI"/>
          <w:sz w:val="22"/>
          <w:szCs w:val="22"/>
        </w:rPr>
        <w:t xml:space="preserve">(a)). Phase modulation efficiencies and initial phase errors of all </w:t>
      </w:r>
      <w:r w:rsidR="00810EBA" w:rsidRPr="00114FCC">
        <w:rPr>
          <w:rFonts w:ascii="Segoe UI" w:hAnsi="Segoe UI" w:cs="Segoe UI"/>
          <w:sz w:val="22"/>
          <w:szCs w:val="22"/>
        </w:rPr>
        <w:t>Mach-Zehnder interferometers (</w:t>
      </w:r>
      <w:r w:rsidRPr="00114FCC">
        <w:rPr>
          <w:rFonts w:ascii="Segoe UI" w:hAnsi="Segoe UI" w:cs="Segoe UI"/>
          <w:sz w:val="22"/>
          <w:szCs w:val="22"/>
        </w:rPr>
        <w:t>MZIs</w:t>
      </w:r>
      <w:r w:rsidR="00810EBA" w:rsidRPr="00114FCC">
        <w:rPr>
          <w:rFonts w:ascii="Segoe UI" w:hAnsi="Segoe UI" w:cs="Segoe UI"/>
          <w:sz w:val="22"/>
          <w:szCs w:val="22"/>
        </w:rPr>
        <w:t>)</w:t>
      </w:r>
      <w:r w:rsidRPr="00114FCC">
        <w:rPr>
          <w:rFonts w:ascii="Segoe UI" w:hAnsi="Segoe UI" w:cs="Segoe UI"/>
          <w:sz w:val="22"/>
          <w:szCs w:val="22"/>
        </w:rPr>
        <w:t xml:space="preserve"> were extracted by sinusoidally fitting the output intensity of a specified port versus the heater power of the target </w:t>
      </w:r>
      <w:r w:rsidR="00810EBA" w:rsidRPr="00114FCC">
        <w:rPr>
          <w:rFonts w:ascii="Segoe UI" w:hAnsi="Segoe UI" w:cs="Segoe UI"/>
          <w:sz w:val="22"/>
          <w:szCs w:val="22"/>
        </w:rPr>
        <w:t>phase shifter (</w:t>
      </w:r>
      <w:r w:rsidRPr="00114FCC">
        <w:rPr>
          <w:rFonts w:ascii="Segoe UI" w:hAnsi="Segoe UI" w:cs="Segoe UI"/>
          <w:sz w:val="22"/>
          <w:szCs w:val="22"/>
        </w:rPr>
        <w:t>PS</w:t>
      </w:r>
      <w:r w:rsidR="00810EBA" w:rsidRPr="00114FCC">
        <w:rPr>
          <w:rFonts w:ascii="Segoe UI" w:hAnsi="Segoe UI" w:cs="Segoe UI"/>
          <w:sz w:val="22"/>
          <w:szCs w:val="22"/>
        </w:rPr>
        <w:t>)</w:t>
      </w:r>
      <w:r w:rsidRPr="00114FCC">
        <w:rPr>
          <w:rFonts w:ascii="Segoe UI" w:hAnsi="Segoe UI" w:cs="Segoe UI"/>
          <w:sz w:val="22"/>
          <w:szCs w:val="22"/>
        </w:rPr>
        <w:t xml:space="preserve">. We calibrated the input-unit PSs first, then calibrated θ PSs by opening a specific input unit (assuming all MZIs were initially near the cross state), and similarly calibrated φ PSs by opening two specific input units under the same assumption, proceeding from elements closest to the input and tapping ports. After this calibration, we measured transmittance variations before and after the mesh and applied them as diagonal scaling matrices </w:t>
      </w:r>
      <w:r w:rsidRPr="00114FCC">
        <w:rPr>
          <w:rFonts w:ascii="Segoe UI" w:hAnsi="Segoe UI" w:cs="Segoe UI"/>
          <w:i/>
          <w:iCs/>
          <w:sz w:val="22"/>
          <w:szCs w:val="22"/>
        </w:rPr>
        <w:t>T</w:t>
      </w:r>
      <w:r w:rsidRPr="00114FCC">
        <w:rPr>
          <w:rFonts w:ascii="Segoe UI" w:hAnsi="Segoe UI" w:cs="Segoe UI"/>
          <w:sz w:val="22"/>
          <w:szCs w:val="22"/>
          <w:vertAlign w:val="subscript"/>
        </w:rPr>
        <w:t>in</w:t>
      </w:r>
      <w:r w:rsidRPr="00114FCC">
        <w:rPr>
          <w:rFonts w:ascii="Segoe UI" w:hAnsi="Segoe UI" w:cs="Segoe UI"/>
          <w:sz w:val="22"/>
          <w:szCs w:val="22"/>
        </w:rPr>
        <w:t xml:space="preserve"> and </w:t>
      </w:r>
      <w:r w:rsidRPr="00114FCC">
        <w:rPr>
          <w:rFonts w:ascii="Segoe UI" w:hAnsi="Segoe UI" w:cs="Segoe UI"/>
          <w:i/>
          <w:iCs/>
          <w:sz w:val="22"/>
          <w:szCs w:val="22"/>
        </w:rPr>
        <w:t>T</w:t>
      </w:r>
      <w:r w:rsidRPr="00114FCC">
        <w:rPr>
          <w:rFonts w:ascii="Segoe UI" w:hAnsi="Segoe UI" w:cs="Segoe UI"/>
          <w:sz w:val="22"/>
          <w:szCs w:val="22"/>
          <w:vertAlign w:val="subscript"/>
        </w:rPr>
        <w:t>out</w:t>
      </w:r>
      <w:r w:rsidRPr="00114FCC">
        <w:rPr>
          <w:rFonts w:ascii="Segoe UI" w:hAnsi="Segoe UI" w:cs="Segoe UI"/>
          <w:sz w:val="22"/>
          <w:szCs w:val="22"/>
        </w:rPr>
        <w:t xml:space="preserve"> at the input and output of the Clements</w:t>
      </w:r>
      <w:r w:rsidR="00F66861" w:rsidRPr="00114FCC">
        <w:rPr>
          <w:rFonts w:ascii="Segoe UI" w:hAnsi="Segoe UI" w:cs="Segoe UI" w:hint="eastAsia"/>
          <w:sz w:val="22"/>
          <w:szCs w:val="22"/>
        </w:rPr>
        <w:t>-type</w:t>
      </w:r>
      <w:r w:rsidRPr="00114FCC">
        <w:rPr>
          <w:rFonts w:ascii="Segoe UI" w:hAnsi="Segoe UI" w:cs="Segoe UI"/>
          <w:sz w:val="22"/>
          <w:szCs w:val="22"/>
        </w:rPr>
        <w:t xml:space="preserve"> to normalize matrix operations: </w:t>
      </w:r>
      <w:r w:rsidRPr="00114FCC">
        <w:rPr>
          <w:rFonts w:ascii="Segoe UI" w:hAnsi="Segoe UI" w:cs="Segoe UI"/>
          <w:i/>
          <w:iCs/>
          <w:sz w:val="22"/>
          <w:szCs w:val="22"/>
        </w:rPr>
        <w:t>T</w:t>
      </w:r>
      <w:r w:rsidRPr="00114FCC">
        <w:rPr>
          <w:rFonts w:ascii="Segoe UI" w:hAnsi="Segoe UI" w:cs="Segoe UI"/>
          <w:sz w:val="22"/>
          <w:szCs w:val="22"/>
          <w:vertAlign w:val="subscript"/>
        </w:rPr>
        <w:t>out</w:t>
      </w:r>
      <w:r w:rsidRPr="00114FCC">
        <w:rPr>
          <w:rFonts w:ascii="Segoe UI" w:hAnsi="Segoe UI" w:cs="Segoe UI"/>
          <w:sz w:val="22"/>
          <w:szCs w:val="22"/>
        </w:rPr>
        <w:t xml:space="preserve"> was estimated by keeping only the first input MZI open and routing light to each output port in turn, whereas </w:t>
      </w:r>
      <w:r w:rsidRPr="00114FCC">
        <w:rPr>
          <w:rFonts w:ascii="Segoe UI" w:hAnsi="Segoe UI" w:cs="Segoe UI"/>
          <w:i/>
          <w:iCs/>
          <w:sz w:val="22"/>
          <w:szCs w:val="22"/>
        </w:rPr>
        <w:t>T</w:t>
      </w:r>
      <w:r w:rsidRPr="00114FCC">
        <w:rPr>
          <w:rFonts w:ascii="Segoe UI" w:hAnsi="Segoe UI" w:cs="Segoe UI"/>
          <w:sz w:val="22"/>
          <w:szCs w:val="22"/>
          <w:vertAlign w:val="subscript"/>
        </w:rPr>
        <w:t>in</w:t>
      </w:r>
      <w:r w:rsidRPr="00114FCC">
        <w:rPr>
          <w:rFonts w:ascii="Segoe UI" w:hAnsi="Segoe UI" w:cs="Segoe UI"/>
          <w:sz w:val="22"/>
          <w:szCs w:val="22"/>
        </w:rPr>
        <w:t xml:space="preserve"> was estimated by opening each input MZI one at a time and routing light to the first output port. Although these diagonal corrections do not capture path-dependent loss differences, the residual errors are later compensated by CPL. Using the calibrated phases and transmittance compensation, we then implemented the identity and random permutation matrices as binary-valued operations (Figs. S</w:t>
      </w:r>
      <w:r w:rsidR="00810EBA" w:rsidRPr="00114FCC">
        <w:rPr>
          <w:rFonts w:ascii="Segoe UI" w:hAnsi="Segoe UI" w:cs="Segoe UI"/>
          <w:sz w:val="22"/>
          <w:szCs w:val="22"/>
        </w:rPr>
        <w:t>1</w:t>
      </w:r>
      <w:r w:rsidRPr="00114FCC">
        <w:rPr>
          <w:rFonts w:ascii="Segoe UI" w:hAnsi="Segoe UI" w:cs="Segoe UI"/>
          <w:sz w:val="22"/>
          <w:szCs w:val="22"/>
        </w:rPr>
        <w:t>(b, c)), achieving explicit crossbar behavior with extinction ratios &gt;20 dB; thanks to the crossbar θ settings, such binary operations were robust to phase fluctuations, required no further calibration, and did not use φ PSs, making crosstalk negligible compared with analog operations that rely on arbitrary phase settings.</w:t>
      </w:r>
    </w:p>
    <w:p w14:paraId="4F02672D" w14:textId="0365AC20" w:rsidR="00BE74B5" w:rsidRPr="00114FCC" w:rsidRDefault="00BE74B5" w:rsidP="007768FC">
      <w:pPr>
        <w:pStyle w:val="1"/>
        <w:rPr>
          <w:rFonts w:eastAsiaTheme="minorEastAsia"/>
          <w:iCs/>
        </w:rPr>
      </w:pPr>
      <w:r w:rsidRPr="00114FCC">
        <w:rPr>
          <w:bCs/>
          <w:iCs/>
        </w:rPr>
        <w:t>S</w:t>
      </w:r>
      <w:r w:rsidRPr="00114FCC">
        <w:rPr>
          <w:rFonts w:hint="eastAsia"/>
          <w:bCs/>
          <w:iCs/>
        </w:rPr>
        <w:t>3</w:t>
      </w:r>
      <w:r w:rsidRPr="00114FCC">
        <w:rPr>
          <w:bCs/>
          <w:iCs/>
        </w:rPr>
        <w:t>.</w:t>
      </w:r>
      <w:r w:rsidRPr="00114FCC">
        <w:t xml:space="preserve"> </w:t>
      </w:r>
      <w:r w:rsidRPr="00114FCC">
        <w:rPr>
          <w:iCs/>
        </w:rPr>
        <w:t>Variation of phase error and modulation efficiency of MZIs</w:t>
      </w:r>
    </w:p>
    <w:p w14:paraId="0AA09F0D" w14:textId="09DE6281" w:rsidR="00BE74B5" w:rsidRPr="00114FCC" w:rsidRDefault="003E67AE" w:rsidP="007768FC">
      <w:pPr>
        <w:widowControl/>
        <w:pBdr>
          <w:top w:val="nil"/>
          <w:left w:val="nil"/>
          <w:bottom w:val="nil"/>
          <w:right w:val="nil"/>
          <w:between w:val="nil"/>
        </w:pBdr>
        <w:adjustRightInd w:val="0"/>
        <w:snapToGrid w:val="0"/>
        <w:rPr>
          <w:rFonts w:ascii="Segoe UI" w:hAnsi="Segoe UI" w:cs="Segoe UI"/>
          <w:sz w:val="22"/>
          <w:szCs w:val="22"/>
        </w:rPr>
      </w:pPr>
      <w:r w:rsidRPr="00114FCC">
        <w:rPr>
          <w:rFonts w:ascii="Segoe UI" w:hAnsi="Segoe UI" w:cs="Segoe UI"/>
          <w:sz w:val="22"/>
          <w:szCs w:val="22"/>
        </w:rPr>
        <w:t>Figure S2 summarizes the example of the variation for the phase error and the modulation efficiency of PSs. The definitions of these variations are illustrated in Fig. S2(a).</w:t>
      </w:r>
      <w:r w:rsidR="00BE74B5" w:rsidRPr="00114FCC">
        <w:rPr>
          <w:rFonts w:ascii="Segoe UI" w:hAnsi="Segoe UI" w:cs="Segoe UI"/>
          <w:sz w:val="22"/>
          <w:szCs w:val="22"/>
        </w:rPr>
        <w:t xml:space="preserve"> Figures S2(b) and (c) show histograms of the initial phase errors (measured at the inner ports of the MZIs) and the effective π-shift voltage </w:t>
      </w:r>
      <w:r w:rsidR="00BE74B5" w:rsidRPr="00114FCC">
        <w:rPr>
          <w:rFonts w:ascii="Segoe UI" w:hAnsi="Segoe UI" w:cs="Segoe UI"/>
          <w:i/>
          <w:iCs/>
          <w:sz w:val="22"/>
          <w:szCs w:val="22"/>
        </w:rPr>
        <w:t>V</w:t>
      </w:r>
      <w:r w:rsidR="00BE74B5" w:rsidRPr="00114FCC">
        <w:rPr>
          <w:rFonts w:ascii="Segoe UI" w:hAnsi="Segoe UI" w:cs="Segoe UI"/>
          <w:sz w:val="22"/>
          <w:szCs w:val="22"/>
          <w:vertAlign w:val="subscript"/>
        </w:rPr>
        <w:t>π</w:t>
      </w:r>
      <w:r w:rsidR="00BE74B5" w:rsidRPr="00114FCC">
        <w:rPr>
          <w:rFonts w:ascii="Segoe UI" w:hAnsi="Segoe UI" w:cs="Segoe UI"/>
          <w:sz w:val="22"/>
          <w:szCs w:val="22"/>
        </w:rPr>
        <w:t xml:space="preserve"> extracted during calibration, which characterize the PS distribution and overall device yield. Here, </w:t>
      </w:r>
      <w:r w:rsidR="00BE74B5" w:rsidRPr="00114FCC">
        <w:rPr>
          <w:rFonts w:ascii="Segoe UI" w:hAnsi="Segoe UI" w:cs="Segoe UI"/>
          <w:i/>
          <w:iCs/>
          <w:sz w:val="22"/>
          <w:szCs w:val="22"/>
        </w:rPr>
        <w:t>V</w:t>
      </w:r>
      <w:r w:rsidR="00BE74B5" w:rsidRPr="00114FCC">
        <w:rPr>
          <w:rFonts w:ascii="Segoe UI" w:hAnsi="Segoe UI" w:cs="Segoe UI"/>
          <w:sz w:val="22"/>
          <w:szCs w:val="22"/>
          <w:vertAlign w:val="subscript"/>
        </w:rPr>
        <w:t>π</w:t>
      </w:r>
      <w:r w:rsidR="00BE74B5" w:rsidRPr="00114FCC">
        <w:rPr>
          <w:rFonts w:ascii="Segoe UI" w:hAnsi="Segoe UI" w:cs="Segoe UI"/>
          <w:sz w:val="22"/>
          <w:szCs w:val="22"/>
        </w:rPr>
        <w:t xml:space="preserve"> was calculated from the heater power consumption and resistance. The mean initial phase error was 0.14 rad with a standard deviation of 0.48 rad, while the mean effective </w:t>
      </w:r>
      <w:r w:rsidR="00BE74B5" w:rsidRPr="00114FCC">
        <w:rPr>
          <w:rFonts w:ascii="Segoe UI" w:hAnsi="Segoe UI" w:cs="Segoe UI"/>
          <w:i/>
          <w:iCs/>
          <w:sz w:val="22"/>
          <w:szCs w:val="22"/>
        </w:rPr>
        <w:t>V</w:t>
      </w:r>
      <w:r w:rsidR="00BE74B5" w:rsidRPr="00114FCC">
        <w:rPr>
          <w:rFonts w:ascii="Segoe UI" w:hAnsi="Segoe UI" w:cs="Segoe UI"/>
          <w:sz w:val="22"/>
          <w:szCs w:val="22"/>
          <w:vertAlign w:val="subscript"/>
        </w:rPr>
        <w:t>π</w:t>
      </w:r>
      <w:r w:rsidR="00BE74B5" w:rsidRPr="00114FCC">
        <w:rPr>
          <w:rFonts w:ascii="Segoe UI" w:hAnsi="Segoe UI" w:cs="Segoe UI"/>
          <w:sz w:val="22"/>
          <w:szCs w:val="22"/>
        </w:rPr>
        <w:t xml:space="preserve"> was 2.16 V with a standard deviation of 0.053 V. </w:t>
      </w:r>
      <w:r w:rsidRPr="00114FCC">
        <w:rPr>
          <w:rFonts w:ascii="Segoe UI" w:hAnsi="Segoe UI" w:cs="Segoe UI"/>
          <w:sz w:val="22"/>
          <w:szCs w:val="22"/>
        </w:rPr>
        <w:t>From these statistics, we estimate that the phase errors correspond to an effective optical path-length mismatch of about 50 nm per MZI.</w:t>
      </w:r>
      <w:r w:rsidR="00BE74B5" w:rsidRPr="00114FCC">
        <w:rPr>
          <w:rFonts w:ascii="Segoe UI" w:hAnsi="Segoe UI" w:cs="Segoe UI"/>
          <w:sz w:val="22"/>
          <w:szCs w:val="22"/>
        </w:rPr>
        <w:t xml:space="preserve"> Considering the total MZI arm length of ~828 µm, this mismatch is just 0.006% and it is considered to be small enough to achieve a larger PIVMM with higher fidelity than other reports. On the other hand, the standard deviation of the MZI arm length after the calibration in the main text is denoted as &lt;30 nm. </w:t>
      </w:r>
      <w:r w:rsidR="00685869" w:rsidRPr="00114FCC">
        <w:rPr>
          <w:rFonts w:ascii="Segoe UI" w:hAnsi="Segoe UI" w:cs="Segoe UI"/>
          <w:sz w:val="22"/>
          <w:szCs w:val="22"/>
        </w:rPr>
        <w:t xml:space="preserve">The circuit model generated by </w:t>
      </w:r>
      <w:r w:rsidR="003A7EB8" w:rsidRPr="00114FCC">
        <w:rPr>
          <w:rFonts w:ascii="Segoe UI" w:hAnsi="Segoe UI" w:cs="Segoe UI" w:hint="eastAsia"/>
          <w:sz w:val="22"/>
          <w:szCs w:val="22"/>
        </w:rPr>
        <w:t xml:space="preserve">the proposed </w:t>
      </w:r>
      <w:r w:rsidR="00685869" w:rsidRPr="00114FCC">
        <w:rPr>
          <w:rFonts w:ascii="Segoe UI" w:hAnsi="Segoe UI" w:cs="Segoe UI"/>
          <w:sz w:val="22"/>
          <w:szCs w:val="22"/>
        </w:rPr>
        <w:t xml:space="preserve">iterative disorder-aware CPL is a model that is insensitive to phase changes that take dynamic crosstalk into </w:t>
      </w:r>
      <w:r w:rsidR="00114FCC" w:rsidRPr="00114FCC">
        <w:rPr>
          <w:rFonts w:ascii="Segoe UI" w:hAnsi="Segoe UI" w:cs="Segoe UI"/>
          <w:sz w:val="22"/>
          <w:szCs w:val="22"/>
        </w:rPr>
        <w:t>account and</w:t>
      </w:r>
      <w:r w:rsidR="00685869" w:rsidRPr="00114FCC">
        <w:rPr>
          <w:rFonts w:ascii="Segoe UI" w:hAnsi="Segoe UI" w:cs="Segoe UI"/>
          <w:sz w:val="22"/>
          <w:szCs w:val="22"/>
        </w:rPr>
        <w:t xml:space="preserve"> is therefore thought to be also insensitive to wavelength changes in the MNIST classification </w:t>
      </w:r>
      <w:r w:rsidR="0056718F" w:rsidRPr="00114FCC">
        <w:rPr>
          <w:rFonts w:ascii="Segoe UI" w:hAnsi="Segoe UI" w:cs="Segoe UI"/>
          <w:sz w:val="22"/>
          <w:szCs w:val="22"/>
        </w:rPr>
        <w:t>task</w:t>
      </w:r>
      <w:r w:rsidR="0056718F" w:rsidRPr="00114FCC">
        <w:rPr>
          <w:rFonts w:ascii="Segoe UI" w:hAnsi="Segoe UI" w:cs="Segoe UI" w:hint="eastAsia"/>
          <w:sz w:val="22"/>
          <w:szCs w:val="22"/>
        </w:rPr>
        <w:t>.</w:t>
      </w:r>
    </w:p>
    <w:p w14:paraId="38631034" w14:textId="18B9CA3F" w:rsidR="00BE74B5" w:rsidRPr="00114FCC" w:rsidRDefault="00BE74B5" w:rsidP="007768FC">
      <w:pPr>
        <w:pStyle w:val="1"/>
        <w:rPr>
          <w:rFonts w:eastAsia="Arial"/>
          <w:iCs/>
        </w:rPr>
      </w:pPr>
      <w:r w:rsidRPr="00114FCC">
        <w:rPr>
          <w:rFonts w:eastAsia="Arial"/>
          <w:bCs/>
          <w:iCs/>
        </w:rPr>
        <w:t>S</w:t>
      </w:r>
      <w:r w:rsidRPr="00114FCC">
        <w:rPr>
          <w:rFonts w:hint="eastAsia"/>
          <w:bCs/>
          <w:iCs/>
        </w:rPr>
        <w:t>4</w:t>
      </w:r>
      <w:r w:rsidRPr="00114FCC">
        <w:rPr>
          <w:rFonts w:eastAsia="Arial"/>
          <w:bCs/>
          <w:iCs/>
        </w:rPr>
        <w:t>. Crosstalk between control signals and its estimation</w:t>
      </w:r>
    </w:p>
    <w:p w14:paraId="6020075E" w14:textId="220872A8" w:rsidR="003C4C2C" w:rsidRPr="00114FCC" w:rsidRDefault="00BE74B5" w:rsidP="003C4C2C">
      <w:pPr>
        <w:widowControl/>
        <w:adjustRightInd w:val="0"/>
        <w:snapToGrid w:val="0"/>
        <w:rPr>
          <w:rFonts w:ascii="Segoe UI" w:hAnsi="Segoe UI" w:cs="Segoe UI"/>
          <w:sz w:val="22"/>
          <w:szCs w:val="22"/>
        </w:rPr>
      </w:pPr>
      <w:r w:rsidRPr="00114FCC">
        <w:rPr>
          <w:rFonts w:ascii="Segoe UI" w:eastAsia="Arial" w:hAnsi="Segoe UI" w:cs="Segoe UI"/>
          <w:sz w:val="22"/>
          <w:szCs w:val="22"/>
        </w:rPr>
        <w:t>As circuit dimensions increase, predicting the output optical-power distribution becomes challenging, not only due to fabrication imperfections but also because unintended crosstalk perturbs phase shifters (PSs) that are not being targeted. This presents a significant problem because crosstalk generates coupled, mutually dependent responses among control signals (Fig. S</w:t>
      </w:r>
      <w:r w:rsidRPr="00114FCC">
        <w:rPr>
          <w:rFonts w:ascii="Segoe UI" w:hAnsi="Segoe UI" w:cs="Segoe UI" w:hint="eastAsia"/>
          <w:sz w:val="22"/>
          <w:szCs w:val="22"/>
        </w:rPr>
        <w:t>3</w:t>
      </w:r>
      <w:r w:rsidRPr="00114FCC">
        <w:rPr>
          <w:rFonts w:ascii="Segoe UI" w:eastAsia="Arial" w:hAnsi="Segoe UI" w:cs="Segoe UI"/>
          <w:sz w:val="22"/>
          <w:szCs w:val="22"/>
        </w:rPr>
        <w:t>(a)), and its severity depends on factors such as the power-supply scheme, circuit layout, and electrical routing.</w:t>
      </w:r>
      <w:r w:rsidRPr="00114FCC">
        <w:rPr>
          <w:rFonts w:ascii="Segoe UI" w:hAnsi="Segoe UI" w:cs="Segoe UI"/>
          <w:sz w:val="22"/>
          <w:szCs w:val="22"/>
        </w:rPr>
        <w:t xml:space="preserve"> </w:t>
      </w:r>
      <w:r w:rsidRPr="00114FCC">
        <w:rPr>
          <w:rFonts w:ascii="Segoe UI" w:eastAsia="Arial" w:hAnsi="Segoe UI" w:cs="Segoe UI"/>
          <w:sz w:val="22"/>
          <w:szCs w:val="22"/>
        </w:rPr>
        <w:t>In heater-based PSs, proximal waveguides are heated simultaneously, inducing unintended phase shifts via thermal crosstalk. Furthermore, under voltage control, the wiring resistance of a shared ground (approximately 10 Ω at critical points) causes voltage drops correlated with other channels, introducing electrical crosstalk.</w:t>
      </w:r>
      <w:r w:rsidR="00167040" w:rsidRPr="00114FCC">
        <w:rPr>
          <w:rFonts w:ascii="Segoe UI" w:hAnsi="Segoe UI" w:cs="Segoe UI" w:hint="eastAsia"/>
          <w:sz w:val="22"/>
          <w:szCs w:val="22"/>
        </w:rPr>
        <w:t xml:space="preserve"> </w:t>
      </w:r>
      <w:r w:rsidR="003C4C2C" w:rsidRPr="00114FCC">
        <w:rPr>
          <w:rFonts w:ascii="Segoe UI" w:hAnsi="Segoe UI" w:cs="Segoe UI"/>
          <w:sz w:val="22"/>
          <w:szCs w:val="22"/>
        </w:rPr>
        <w:t xml:space="preserve">Figure S3(b) illustrates simulation results showing how circuit-model fidelity degrades when the phase configuration is updated away from the initial phase setting used during </w:t>
      </w:r>
      <w:r w:rsidR="003C4C2C" w:rsidRPr="00114FCC">
        <w:rPr>
          <w:rFonts w:ascii="Segoe UI" w:hAnsi="Segoe UI" w:cs="Segoe UI"/>
          <w:sz w:val="22"/>
          <w:szCs w:val="22"/>
        </w:rPr>
        <w:lastRenderedPageBreak/>
        <w:t xml:space="preserve">data acquisition, due to crosstalk effects (see </w:t>
      </w:r>
      <w:r w:rsidR="003C4C2C" w:rsidRPr="00114FCC">
        <w:rPr>
          <w:rFonts w:ascii="Segoe UI" w:hAnsi="Segoe UI" w:cs="Segoe UI"/>
          <w:i/>
          <w:iCs/>
          <w:sz w:val="22"/>
          <w:szCs w:val="22"/>
        </w:rPr>
        <w:t>Iterative disorder-aware CPL</w:t>
      </w:r>
      <w:r w:rsidR="003C4C2C" w:rsidRPr="00114FCC">
        <w:rPr>
          <w:rFonts w:ascii="Segoe UI" w:hAnsi="Segoe UI" w:cs="Segoe UI"/>
          <w:sz w:val="22"/>
          <w:szCs w:val="22"/>
        </w:rPr>
        <w:t xml:space="preserve"> in </w:t>
      </w:r>
      <w:r w:rsidR="003C4C2C" w:rsidRPr="00114FCC">
        <w:rPr>
          <w:rFonts w:ascii="Segoe UI" w:hAnsi="Segoe UI" w:cs="Segoe UI"/>
          <w:i/>
          <w:iCs/>
          <w:sz w:val="22"/>
          <w:szCs w:val="22"/>
        </w:rPr>
        <w:t>Methods</w:t>
      </w:r>
      <w:r w:rsidR="003C4C2C" w:rsidRPr="00114FCC">
        <w:rPr>
          <w:rFonts w:ascii="Segoe UI" w:hAnsi="Segoe UI" w:cs="Segoe UI"/>
          <w:sz w:val="22"/>
          <w:szCs w:val="22"/>
        </w:rPr>
        <w:t xml:space="preserve"> for a detailed explanation of the schematic phase-space representation). In the absence of crosstalk (left), the coefficient of determination (R²) remains high over the entire phase-configuration space, reflecting the independence of the control signals. In contrast, when crosstalk is included in the simulation (right), R² progressively decreases as the phase configuration θ</w:t>
      </w:r>
      <w:r w:rsidR="003C4C2C" w:rsidRPr="00114FCC">
        <w:rPr>
          <w:rFonts w:ascii="Segoe UI" w:hAnsi="Segoe UI" w:cs="Segoe UI"/>
          <w:sz w:val="22"/>
          <w:szCs w:val="22"/>
          <w:vertAlign w:val="subscript"/>
        </w:rPr>
        <w:t>set</w:t>
      </w:r>
      <w:r w:rsidR="003C4C2C" w:rsidRPr="00114FCC">
        <w:rPr>
          <w:rFonts w:ascii="Segoe UI" w:hAnsi="Segoe UI" w:cs="Segoe UI"/>
          <w:sz w:val="22"/>
          <w:szCs w:val="22"/>
        </w:rPr>
        <w:t>(σ) deviates from its initial state θ</w:t>
      </w:r>
      <w:r w:rsidR="003C4C2C" w:rsidRPr="00114FCC">
        <w:rPr>
          <w:rFonts w:ascii="Segoe UI" w:hAnsi="Segoe UI" w:cs="Segoe UI"/>
          <w:sz w:val="22"/>
          <w:szCs w:val="22"/>
          <w:vertAlign w:val="subscript"/>
        </w:rPr>
        <w:t>set</w:t>
      </w:r>
      <w:r w:rsidR="003C4C2C" w:rsidRPr="00114FCC">
        <w:rPr>
          <w:rFonts w:ascii="Segoe UI" w:hAnsi="Segoe UI" w:cs="Segoe UI"/>
          <w:sz w:val="22"/>
          <w:szCs w:val="22"/>
        </w:rPr>
        <w:t>(0).</w:t>
      </w:r>
      <w:r w:rsidR="003C4C2C" w:rsidRPr="00114FCC">
        <w:rPr>
          <w:rFonts w:ascii="Segoe UI" w:hAnsi="Segoe UI" w:cs="Segoe UI" w:hint="eastAsia"/>
          <w:sz w:val="22"/>
          <w:szCs w:val="22"/>
        </w:rPr>
        <w:t xml:space="preserve"> </w:t>
      </w:r>
      <w:r w:rsidR="003C4C2C" w:rsidRPr="00114FCC">
        <w:rPr>
          <w:rFonts w:ascii="Segoe UI" w:hAnsi="Segoe UI" w:cs="Segoe UI"/>
          <w:sz w:val="22"/>
          <w:szCs w:val="22"/>
        </w:rPr>
        <w:t>This behavior indicates that, in the presence of crosstalk, the learned circuit model is only valid within a limited neighborhood around the phase configuration at which the training data were acquired. Consequently, reliable phase optimization requires restricting each phase update to a small deviation from the current operating point and performing the optimization iteratively.</w:t>
      </w:r>
    </w:p>
    <w:p w14:paraId="47C78208" w14:textId="77777777" w:rsidR="003C4C2C" w:rsidRPr="00114FCC" w:rsidRDefault="003C4C2C" w:rsidP="003C4C2C">
      <w:pPr>
        <w:widowControl/>
        <w:adjustRightInd w:val="0"/>
        <w:snapToGrid w:val="0"/>
        <w:rPr>
          <w:rFonts w:ascii="Segoe UI" w:hAnsi="Segoe UI" w:cs="Segoe UI"/>
          <w:sz w:val="22"/>
          <w:szCs w:val="22"/>
        </w:rPr>
      </w:pPr>
    </w:p>
    <w:p w14:paraId="54912AB3" w14:textId="01DA96F0" w:rsidR="003C4C2C" w:rsidRPr="00114FCC" w:rsidRDefault="003C4C2C" w:rsidP="00BE74B5">
      <w:pPr>
        <w:widowControl/>
        <w:adjustRightInd w:val="0"/>
        <w:snapToGrid w:val="0"/>
        <w:rPr>
          <w:rFonts w:ascii="Segoe UI" w:hAnsi="Segoe UI" w:cs="Segoe UI"/>
          <w:sz w:val="22"/>
          <w:szCs w:val="22"/>
        </w:rPr>
      </w:pPr>
      <w:r w:rsidRPr="00114FCC">
        <w:rPr>
          <w:rFonts w:ascii="Segoe UI" w:hAnsi="Segoe UI" w:cs="Segoe UI"/>
          <w:sz w:val="22"/>
          <w:szCs w:val="22"/>
        </w:rPr>
        <w:t>This trend is also observed experimentally, as shown in Fig. S3(c). After performing CPL using a dataset acquired with compressed MNIST inputs at a randomly selected initial phase configuration θ</w:t>
      </w:r>
      <w:r w:rsidRPr="00114FCC">
        <w:rPr>
          <w:rFonts w:ascii="Segoe UI" w:hAnsi="Segoe UI" w:cs="Segoe UI"/>
          <w:sz w:val="22"/>
          <w:szCs w:val="22"/>
          <w:vertAlign w:val="subscript"/>
        </w:rPr>
        <w:t>init</w:t>
      </w:r>
      <w:r w:rsidRPr="00114FCC">
        <w:rPr>
          <w:rFonts w:ascii="Segoe UI" w:hAnsi="Segoe UI" w:cs="Segoe UI"/>
          <w:sz w:val="22"/>
          <w:szCs w:val="22"/>
        </w:rPr>
        <w:t>, we gradually increased the magnitude of random phase perturbations σ in θ</w:t>
      </w:r>
      <w:r w:rsidRPr="00114FCC">
        <w:rPr>
          <w:rFonts w:ascii="Segoe UI" w:hAnsi="Segoe UI" w:cs="Segoe UI"/>
          <w:sz w:val="22"/>
          <w:szCs w:val="22"/>
          <w:vertAlign w:val="subscript"/>
        </w:rPr>
        <w:t>set</w:t>
      </w:r>
      <w:r w:rsidRPr="00114FCC">
        <w:rPr>
          <w:rFonts w:ascii="Segoe UI" w:hAnsi="Segoe UI" w:cs="Segoe UI"/>
          <w:sz w:val="22"/>
          <w:szCs w:val="22"/>
        </w:rPr>
        <w:t>(σ). The resulting monotonic decrease in R² confirms that crosstalk significantly compromises the fidelity of complex-valued matrix computations as the phase configuration moves away from the training point, thereby necessitating explicit compensation strategies. We note that the absolute level of fidelity degradation differs between Fig. S3(b) and Fig. S3(c) because the crosstalk model used in the simulation is intentionally simplified compared with the experimental system.</w:t>
      </w:r>
    </w:p>
    <w:p w14:paraId="5291066C" w14:textId="171213A9" w:rsidR="00BE74B5" w:rsidRPr="00114FCC" w:rsidRDefault="00BE74B5" w:rsidP="007768FC">
      <w:pPr>
        <w:pStyle w:val="1"/>
      </w:pPr>
      <w:r w:rsidRPr="00114FCC">
        <w:rPr>
          <w:iCs/>
        </w:rPr>
        <w:t>S</w:t>
      </w:r>
      <w:r w:rsidRPr="00114FCC">
        <w:rPr>
          <w:rFonts w:hint="eastAsia"/>
          <w:iCs/>
        </w:rPr>
        <w:t>5</w:t>
      </w:r>
      <w:r w:rsidRPr="00114FCC">
        <w:rPr>
          <w:iCs/>
        </w:rPr>
        <w:t xml:space="preserve">. </w:t>
      </w:r>
      <w:r w:rsidRPr="00114FCC">
        <w:t>Impact of thermal crosstalk on matrix-implementation fidelity</w:t>
      </w:r>
    </w:p>
    <w:p w14:paraId="20B03162" w14:textId="77777777" w:rsidR="00BE74B5" w:rsidRPr="00114FCC" w:rsidRDefault="00BE74B5" w:rsidP="00BE74B5">
      <w:pPr>
        <w:adjustRightInd w:val="0"/>
        <w:snapToGrid w:val="0"/>
        <w:rPr>
          <w:rFonts w:ascii="Segoe UI" w:hAnsi="Segoe UI" w:cs="Segoe UI"/>
          <w:sz w:val="22"/>
          <w:szCs w:val="22"/>
        </w:rPr>
      </w:pPr>
      <w:r w:rsidRPr="00114FCC">
        <w:rPr>
          <w:rFonts w:ascii="Segoe UI" w:hAnsi="Segoe UI" w:cs="Segoe UI"/>
          <w:sz w:val="22"/>
          <w:szCs w:val="22"/>
        </w:rPr>
        <w:t xml:space="preserve">We simulated how matrix fidelity degrades with increasing matrix size under varying levels of thermal crosstalk in a Clements-type configuration. We considered crosstalk arising from the thermo-optic (TO) effect among nearby phase shifters (PSs), incorporating distance-dependent coupling. The coupling was modeled to decay with the center-to-center distance </w:t>
      </w:r>
      <w:r w:rsidRPr="00114FCC">
        <w:rPr>
          <w:rFonts w:ascii="Segoe UI" w:hAnsi="Segoe UI" w:cs="Segoe UI"/>
          <w:i/>
          <w:iCs/>
          <w:sz w:val="22"/>
          <w:szCs w:val="22"/>
        </w:rPr>
        <w:t>d</w:t>
      </w:r>
      <w:r w:rsidRPr="00114FCC">
        <w:rPr>
          <w:rFonts w:ascii="Segoe UI" w:hAnsi="Segoe UI" w:cs="Segoe UI"/>
          <w:sz w:val="22"/>
          <w:szCs w:val="22"/>
        </w:rPr>
        <w:t xml:space="preserve"> via an exponential kernel:</w:t>
      </w:r>
    </w:p>
    <w:p w14:paraId="22632F68" w14:textId="77777777" w:rsidR="00BE74B5" w:rsidRPr="00114FCC" w:rsidRDefault="00BE74B5" w:rsidP="00BE74B5">
      <w:pPr>
        <w:adjustRightInd w:val="0"/>
        <w:snapToGrid w:val="0"/>
        <w:rPr>
          <w:rFonts w:ascii="Segoe UI" w:hAnsi="Segoe UI" w:cs="Segoe UI"/>
          <w:sz w:val="22"/>
          <w:szCs w:val="22"/>
        </w:rPr>
      </w:pPr>
    </w:p>
    <w:p w14:paraId="521E621A" w14:textId="6C635646" w:rsidR="00BE74B5" w:rsidRPr="00114FCC" w:rsidRDefault="00BE74B5" w:rsidP="00BE74B5">
      <w:pPr>
        <w:adjustRightInd w:val="0"/>
        <w:snapToGrid w:val="0"/>
        <w:rPr>
          <w:rFonts w:ascii="Segoe UI" w:hAnsi="Segoe UI" w:cs="Segoe UI"/>
          <w:sz w:val="22"/>
          <w:szCs w:val="22"/>
        </w:rPr>
      </w:pPr>
      <m:oMath>
        <m:r>
          <w:rPr>
            <w:rFonts w:ascii="Cambria Math" w:hAnsi="Cambria Math" w:cs="Segoe UI"/>
            <w:sz w:val="22"/>
            <w:szCs w:val="22"/>
          </w:rPr>
          <m:t>K</m:t>
        </m:r>
        <m:d>
          <m:dPr>
            <m:ctrlPr>
              <w:rPr>
                <w:rFonts w:ascii="Cambria Math" w:hAnsi="Cambria Math" w:cs="Segoe UI"/>
                <w:i/>
                <w:sz w:val="22"/>
                <w:szCs w:val="22"/>
              </w:rPr>
            </m:ctrlPr>
          </m:dPr>
          <m:e>
            <m:r>
              <w:rPr>
                <w:rFonts w:ascii="Cambria Math" w:hAnsi="Cambria Math" w:cs="Segoe UI"/>
                <w:sz w:val="22"/>
                <w:szCs w:val="22"/>
              </w:rPr>
              <m:t>d</m:t>
            </m:r>
          </m:e>
        </m:d>
        <m:r>
          <w:rPr>
            <w:rFonts w:ascii="Cambria Math" w:hAnsi="Cambria Math" w:cs="Segoe UI"/>
            <w:sz w:val="22"/>
            <w:szCs w:val="22"/>
          </w:rPr>
          <m:t xml:space="preserve">= </m:t>
        </m:r>
        <m:sSub>
          <m:sSubPr>
            <m:ctrlPr>
              <w:rPr>
                <w:rFonts w:ascii="Cambria Math" w:hAnsi="Cambria Math" w:cs="Segoe UI"/>
                <w:i/>
                <w:sz w:val="22"/>
                <w:szCs w:val="22"/>
              </w:rPr>
            </m:ctrlPr>
          </m:sSubPr>
          <m:e>
            <m:r>
              <w:rPr>
                <w:rFonts w:ascii="Cambria Math" w:hAnsi="Cambria Math" w:cs="Segoe UI"/>
                <w:sz w:val="22"/>
                <w:szCs w:val="22"/>
              </w:rPr>
              <m:t>K</m:t>
            </m:r>
          </m:e>
          <m:sub>
            <m:r>
              <w:rPr>
                <w:rFonts w:ascii="Cambria Math" w:hAnsi="Cambria Math" w:cs="Segoe UI"/>
                <w:sz w:val="22"/>
                <w:szCs w:val="22"/>
              </w:rPr>
              <m:t>0</m:t>
            </m:r>
          </m:sub>
        </m:sSub>
        <m:r>
          <m:rPr>
            <m:sty m:val="p"/>
          </m:rPr>
          <w:rPr>
            <w:rFonts w:ascii="Cambria Math" w:hAnsi="Cambria Math" w:cs="Segoe UI"/>
            <w:sz w:val="22"/>
            <w:szCs w:val="22"/>
          </w:rPr>
          <m:t>exp⁡</m:t>
        </m:r>
        <m:d>
          <m:dPr>
            <m:ctrlPr>
              <w:rPr>
                <w:rFonts w:ascii="Cambria Math" w:hAnsi="Cambria Math" w:cs="Segoe UI"/>
                <w:i/>
                <w:sz w:val="22"/>
                <w:szCs w:val="22"/>
              </w:rPr>
            </m:ctrlPr>
          </m:dPr>
          <m:e>
            <m:r>
              <w:rPr>
                <w:rFonts w:ascii="Cambria Math" w:hAnsi="Cambria Math" w:cs="Segoe UI"/>
                <w:sz w:val="22"/>
                <w:szCs w:val="22"/>
              </w:rPr>
              <m:t>-</m:t>
            </m:r>
            <m:f>
              <m:fPr>
                <m:ctrlPr>
                  <w:rPr>
                    <w:rFonts w:ascii="Cambria Math" w:hAnsi="Cambria Math" w:cs="Segoe UI"/>
                    <w:i/>
                    <w:sz w:val="22"/>
                    <w:szCs w:val="22"/>
                  </w:rPr>
                </m:ctrlPr>
              </m:fPr>
              <m:num>
                <m:r>
                  <w:rPr>
                    <w:rFonts w:ascii="Cambria Math" w:hAnsi="Cambria Math" w:cs="Segoe UI"/>
                    <w:sz w:val="22"/>
                    <w:szCs w:val="22"/>
                  </w:rPr>
                  <m:t>d-</m:t>
                </m:r>
                <m:sSub>
                  <m:sSubPr>
                    <m:ctrlPr>
                      <w:rPr>
                        <w:rFonts w:ascii="Cambria Math" w:hAnsi="Cambria Math" w:cs="Segoe UI"/>
                        <w:i/>
                        <w:sz w:val="22"/>
                        <w:szCs w:val="22"/>
                      </w:rPr>
                    </m:ctrlPr>
                  </m:sSubPr>
                  <m:e>
                    <m:r>
                      <w:rPr>
                        <w:rFonts w:ascii="Cambria Math" w:hAnsi="Cambria Math" w:cs="Segoe UI"/>
                        <w:sz w:val="22"/>
                        <w:szCs w:val="22"/>
                      </w:rPr>
                      <m:t>d</m:t>
                    </m:r>
                  </m:e>
                  <m:sub>
                    <m:r>
                      <w:rPr>
                        <w:rFonts w:ascii="Cambria Math" w:hAnsi="Cambria Math" w:cs="Segoe UI"/>
                        <w:sz w:val="22"/>
                        <w:szCs w:val="22"/>
                      </w:rPr>
                      <m:t>0</m:t>
                    </m:r>
                  </m:sub>
                </m:sSub>
              </m:num>
              <m:den>
                <m:r>
                  <w:rPr>
                    <w:rFonts w:ascii="Cambria Math" w:hAnsi="Cambria Math" w:cs="Segoe UI"/>
                    <w:sz w:val="22"/>
                    <w:szCs w:val="22"/>
                  </w:rPr>
                  <m:t>L</m:t>
                </m:r>
              </m:den>
            </m:f>
          </m:e>
        </m:d>
      </m:oMath>
      <w:r w:rsidRPr="00114FCC">
        <w:rPr>
          <w:rFonts w:ascii="Segoe UI" w:hAnsi="Segoe UI" w:cs="Segoe UI"/>
          <w:sz w:val="22"/>
          <w:szCs w:val="22"/>
        </w:rPr>
        <w:tab/>
        <w:t>(S2)</w:t>
      </w:r>
    </w:p>
    <w:p w14:paraId="72A6578F" w14:textId="77777777" w:rsidR="00BE74B5" w:rsidRPr="00114FCC" w:rsidRDefault="00BE74B5" w:rsidP="00BE74B5">
      <w:pPr>
        <w:adjustRightInd w:val="0"/>
        <w:snapToGrid w:val="0"/>
        <w:rPr>
          <w:rFonts w:ascii="Segoe UI" w:hAnsi="Segoe UI" w:cs="Segoe UI"/>
          <w:sz w:val="22"/>
          <w:szCs w:val="22"/>
        </w:rPr>
      </w:pPr>
    </w:p>
    <w:p w14:paraId="4080AD4F" w14:textId="1780BCF8" w:rsidR="00BE74B5" w:rsidRPr="00114FCC" w:rsidRDefault="00BE74B5" w:rsidP="00BE74B5">
      <w:pPr>
        <w:adjustRightInd w:val="0"/>
        <w:snapToGrid w:val="0"/>
        <w:rPr>
          <w:rFonts w:ascii="Segoe UI" w:hAnsi="Segoe UI" w:cs="Segoe UI"/>
          <w:sz w:val="22"/>
          <w:szCs w:val="22"/>
        </w:rPr>
      </w:pPr>
      <w:r w:rsidRPr="00114FCC">
        <w:rPr>
          <w:rFonts w:ascii="Segoe UI" w:hAnsi="Segoe UI" w:cs="Segoe UI"/>
          <w:sz w:val="22"/>
          <w:szCs w:val="22"/>
        </w:rPr>
        <w:t xml:space="preserve">where </w:t>
      </w:r>
      <w:r w:rsidRPr="00114FCC">
        <w:rPr>
          <w:rFonts w:ascii="Segoe UI" w:hAnsi="Segoe UI" w:cs="Segoe UI"/>
          <w:i/>
          <w:iCs/>
          <w:sz w:val="22"/>
          <w:szCs w:val="22"/>
        </w:rPr>
        <w:t>K</w:t>
      </w:r>
      <w:r w:rsidRPr="00114FCC">
        <w:rPr>
          <w:rFonts w:ascii="Segoe UI" w:hAnsi="Segoe UI" w:cs="Segoe UI"/>
          <w:sz w:val="22"/>
          <w:szCs w:val="22"/>
          <w:vertAlign w:val="subscript"/>
        </w:rPr>
        <w:t>0</w:t>
      </w:r>
      <w:r w:rsidRPr="00114FCC">
        <w:rPr>
          <w:rFonts w:ascii="Segoe UI" w:hAnsi="Segoe UI" w:cs="Segoe UI"/>
          <w:sz w:val="22"/>
          <w:szCs w:val="22"/>
        </w:rPr>
        <w:t xml:space="preserve"> denotes the nearest-neighbor coupling magnitude </w:t>
      </w:r>
      <w:r w:rsidR="00B11C14" w:rsidRPr="00114FCC">
        <w:rPr>
          <w:rFonts w:ascii="Segoe UI" w:hAnsi="Segoe UI" w:cs="Segoe UI" w:hint="eastAsia"/>
          <w:sz w:val="22"/>
          <w:szCs w:val="22"/>
        </w:rPr>
        <w:t xml:space="preserve">at separation </w:t>
      </w:r>
      <w:r w:rsidR="00B11C14" w:rsidRPr="00114FCC">
        <w:rPr>
          <w:rFonts w:ascii="Segoe UI" w:hAnsi="Segoe UI" w:cs="Segoe UI" w:hint="eastAsia"/>
          <w:i/>
          <w:iCs/>
          <w:sz w:val="22"/>
          <w:szCs w:val="22"/>
        </w:rPr>
        <w:t>d</w:t>
      </w:r>
      <w:r w:rsidR="00B11C14" w:rsidRPr="00114FCC">
        <w:rPr>
          <w:rFonts w:ascii="Segoe UI" w:hAnsi="Segoe UI" w:cs="Segoe UI"/>
          <w:sz w:val="22"/>
          <w:szCs w:val="22"/>
          <w:vertAlign w:val="subscript"/>
        </w:rPr>
        <w:t>0</w:t>
      </w:r>
      <w:r w:rsidR="00B11C14" w:rsidRPr="00114FCC">
        <w:rPr>
          <w:rFonts w:ascii="Segoe UI" w:hAnsi="Segoe UI" w:cs="Segoe UI" w:hint="eastAsia"/>
          <w:sz w:val="22"/>
          <w:szCs w:val="22"/>
        </w:rPr>
        <w:t xml:space="preserve">, </w:t>
      </w:r>
      <w:r w:rsidRPr="00114FCC">
        <w:rPr>
          <w:rFonts w:ascii="Segoe UI" w:hAnsi="Segoe UI" w:cs="Segoe UI"/>
          <w:sz w:val="22"/>
          <w:szCs w:val="22"/>
        </w:rPr>
        <w:t xml:space="preserve">and </w:t>
      </w:r>
      <w:r w:rsidRPr="00114FCC">
        <w:rPr>
          <w:rFonts w:ascii="Segoe UI" w:hAnsi="Segoe UI" w:cs="Segoe UI"/>
          <w:i/>
          <w:iCs/>
          <w:sz w:val="22"/>
          <w:szCs w:val="22"/>
        </w:rPr>
        <w:t>L</w:t>
      </w:r>
      <w:r w:rsidRPr="00114FCC">
        <w:rPr>
          <w:rFonts w:ascii="Segoe UI" w:hAnsi="Segoe UI" w:cs="Segoe UI"/>
          <w:sz w:val="22"/>
          <w:szCs w:val="22"/>
        </w:rPr>
        <w:t xml:space="preserve"> is the </w:t>
      </w:r>
      <w:r w:rsidR="00B11C14" w:rsidRPr="00114FCC">
        <w:rPr>
          <w:rFonts w:ascii="Segoe UI" w:hAnsi="Segoe UI" w:cs="Segoe UI" w:hint="eastAsia"/>
          <w:sz w:val="22"/>
          <w:szCs w:val="22"/>
        </w:rPr>
        <w:t>thermal</w:t>
      </w:r>
      <w:r w:rsidRPr="00114FCC">
        <w:rPr>
          <w:rFonts w:ascii="Segoe UI" w:hAnsi="Segoe UI" w:cs="Segoe UI"/>
          <w:sz w:val="22"/>
          <w:szCs w:val="22"/>
        </w:rPr>
        <w:t xml:space="preserve"> decay length. For simplicity, we assumed that </w:t>
      </w:r>
      <w:r w:rsidR="00B11C14" w:rsidRPr="00114FCC">
        <w:rPr>
          <w:rFonts w:ascii="Segoe UI" w:hAnsi="Segoe UI" w:cs="Segoe UI"/>
          <w:sz w:val="22"/>
          <w:szCs w:val="22"/>
        </w:rPr>
        <w:t>L is independent of the matrix size</w:t>
      </w:r>
      <w:r w:rsidR="00B11C14" w:rsidRPr="00114FCC">
        <w:rPr>
          <w:rFonts w:ascii="Segoe UI" w:hAnsi="Segoe UI" w:cs="Segoe UI" w:hint="eastAsia"/>
          <w:sz w:val="22"/>
          <w:szCs w:val="22"/>
        </w:rPr>
        <w:t xml:space="preserve"> and </w:t>
      </w:r>
      <w:r w:rsidRPr="00114FCC">
        <w:rPr>
          <w:rFonts w:ascii="Segoe UI" w:hAnsi="Segoe UI" w:cs="Segoe UI"/>
          <w:sz w:val="22"/>
          <w:szCs w:val="22"/>
        </w:rPr>
        <w:t xml:space="preserve">the center-to-center distance between PSs scales linearly with the difference in their indices. Based on this kernel, we constructed a crosstalk matrix </w:t>
      </w:r>
      <w:r w:rsidRPr="00114FCC">
        <w:rPr>
          <w:rFonts w:ascii="Segoe UI" w:hAnsi="Segoe UI" w:cs="Segoe UI"/>
          <w:i/>
          <w:iCs/>
          <w:sz w:val="22"/>
          <w:szCs w:val="22"/>
        </w:rPr>
        <w:t>C</w:t>
      </w:r>
      <w:r w:rsidRPr="00114FCC">
        <w:rPr>
          <w:rFonts w:ascii="Segoe UI" w:hAnsi="Segoe UI" w:cs="Segoe UI"/>
          <w:sz w:val="22"/>
          <w:szCs w:val="22"/>
        </w:rPr>
        <w:t xml:space="preserve">, where off-diagonal elements are defined as </w:t>
      </w:r>
      <w:r w:rsidRPr="00114FCC">
        <w:rPr>
          <w:rFonts w:ascii="Segoe UI" w:hAnsi="Segoe UI" w:cs="Segoe UI"/>
          <w:i/>
          <w:iCs/>
          <w:sz w:val="22"/>
          <w:szCs w:val="22"/>
        </w:rPr>
        <w:t>C</w:t>
      </w:r>
      <w:r w:rsidRPr="00114FCC">
        <w:rPr>
          <w:rFonts w:ascii="Segoe UI" w:hAnsi="Segoe UI" w:cs="Segoe UI"/>
          <w:sz w:val="22"/>
          <w:szCs w:val="22"/>
          <w:vertAlign w:val="subscript"/>
        </w:rPr>
        <w:t>ij</w:t>
      </w:r>
      <w:r w:rsidRPr="00114FCC">
        <w:rPr>
          <w:rFonts w:ascii="Segoe UI" w:hAnsi="Segoe UI" w:cs="Segoe UI"/>
          <w:sz w:val="22"/>
          <w:szCs w:val="22"/>
        </w:rPr>
        <w:t xml:space="preserve"> = </w:t>
      </w:r>
      <w:r w:rsidRPr="00114FCC">
        <w:rPr>
          <w:rFonts w:ascii="Segoe UI" w:hAnsi="Segoe UI" w:cs="Segoe UI"/>
          <w:i/>
          <w:iCs/>
          <w:sz w:val="22"/>
          <w:szCs w:val="22"/>
        </w:rPr>
        <w:t>K</w:t>
      </w:r>
      <w:r w:rsidRPr="00114FCC">
        <w:rPr>
          <w:rFonts w:ascii="Segoe UI" w:hAnsi="Segoe UI" w:cs="Segoe UI"/>
          <w:sz w:val="22"/>
          <w:szCs w:val="22"/>
        </w:rPr>
        <w:t>(</w:t>
      </w:r>
      <w:r w:rsidRPr="00114FCC">
        <w:rPr>
          <w:rFonts w:ascii="Segoe UI" w:hAnsi="Segoe UI" w:cs="Segoe UI"/>
          <w:i/>
          <w:iCs/>
          <w:sz w:val="22"/>
          <w:szCs w:val="22"/>
        </w:rPr>
        <w:t>d</w:t>
      </w:r>
      <w:r w:rsidRPr="00114FCC">
        <w:rPr>
          <w:rFonts w:ascii="Segoe UI" w:hAnsi="Segoe UI" w:cs="Segoe UI"/>
          <w:sz w:val="22"/>
          <w:szCs w:val="22"/>
          <w:vertAlign w:val="subscript"/>
        </w:rPr>
        <w:t>ij</w:t>
      </w:r>
      <w:r w:rsidRPr="00114FCC">
        <w:rPr>
          <w:rFonts w:ascii="Segoe UI" w:hAnsi="Segoe UI" w:cs="Segoe UI"/>
          <w:sz w:val="22"/>
          <w:szCs w:val="22"/>
        </w:rPr>
        <w:t xml:space="preserve">) for neighboring pairs, and diagonal elements are set to zero </w:t>
      </w:r>
      <w:r w:rsidR="005F290E" w:rsidRPr="00114FCC">
        <w:rPr>
          <w:rFonts w:ascii="Segoe UI" w:hAnsi="Segoe UI" w:cs="Segoe UI"/>
          <w:sz w:val="22"/>
          <w:szCs w:val="22"/>
        </w:rPr>
        <w:t>because self-heating corresponds to the intended phase response of each PS and is not treated as crosstalk</w:t>
      </w:r>
      <w:r w:rsidRPr="00114FCC">
        <w:rPr>
          <w:rFonts w:ascii="Segoe UI" w:hAnsi="Segoe UI" w:cs="Segoe UI"/>
          <w:sz w:val="22"/>
          <w:szCs w:val="22"/>
        </w:rPr>
        <w:t>. As an illustrative example, Fig. S</w:t>
      </w:r>
      <w:r w:rsidRPr="00114FCC">
        <w:rPr>
          <w:rFonts w:ascii="Segoe UI" w:hAnsi="Segoe UI" w:cs="Segoe UI" w:hint="eastAsia"/>
          <w:sz w:val="22"/>
          <w:szCs w:val="22"/>
        </w:rPr>
        <w:t>4</w:t>
      </w:r>
      <w:r w:rsidRPr="00114FCC">
        <w:rPr>
          <w:rFonts w:ascii="Segoe UI" w:hAnsi="Segoe UI" w:cs="Segoe UI"/>
          <w:sz w:val="22"/>
          <w:szCs w:val="22"/>
        </w:rPr>
        <w:t xml:space="preserve">(a) shows the crosstalk matrix for </w:t>
      </w:r>
      <w:r w:rsidRPr="00114FCC">
        <w:rPr>
          <w:rFonts w:ascii="Segoe UI" w:hAnsi="Segoe UI" w:cs="Segoe UI"/>
          <w:i/>
          <w:iCs/>
          <w:sz w:val="22"/>
          <w:szCs w:val="22"/>
        </w:rPr>
        <w:t>N</w:t>
      </w:r>
      <w:r w:rsidRPr="00114FCC">
        <w:rPr>
          <w:rFonts w:ascii="Segoe UI" w:hAnsi="Segoe UI" w:cs="Segoe UI"/>
          <w:sz w:val="22"/>
          <w:szCs w:val="22"/>
        </w:rPr>
        <w:t xml:space="preserve"> = 8 and </w:t>
      </w:r>
      <w:r w:rsidRPr="00114FCC">
        <w:rPr>
          <w:rFonts w:ascii="Segoe UI" w:hAnsi="Segoe UI" w:cs="Segoe UI"/>
          <w:i/>
          <w:iCs/>
          <w:sz w:val="22"/>
          <w:szCs w:val="22"/>
        </w:rPr>
        <w:t>K</w:t>
      </w:r>
      <w:r w:rsidRPr="00114FCC">
        <w:rPr>
          <w:rFonts w:ascii="Segoe UI" w:hAnsi="Segoe UI" w:cs="Segoe UI"/>
          <w:sz w:val="22"/>
          <w:szCs w:val="22"/>
          <w:vertAlign w:val="subscript"/>
        </w:rPr>
        <w:t>0</w:t>
      </w:r>
      <w:r w:rsidRPr="00114FCC">
        <w:rPr>
          <w:rFonts w:ascii="Segoe UI" w:hAnsi="Segoe UI" w:cs="Segoe UI"/>
          <w:sz w:val="22"/>
          <w:szCs w:val="22"/>
        </w:rPr>
        <w:t xml:space="preserve"> = 0.03. In Fig. S</w:t>
      </w:r>
      <w:r w:rsidRPr="00114FCC">
        <w:rPr>
          <w:rFonts w:ascii="Segoe UI" w:hAnsi="Segoe UI" w:cs="Segoe UI" w:hint="eastAsia"/>
          <w:sz w:val="22"/>
          <w:szCs w:val="22"/>
        </w:rPr>
        <w:t>4</w:t>
      </w:r>
      <w:r w:rsidRPr="00114FCC">
        <w:rPr>
          <w:rFonts w:ascii="Segoe UI" w:hAnsi="Segoe UI" w:cs="Segoe UI"/>
          <w:sz w:val="22"/>
          <w:szCs w:val="22"/>
        </w:rPr>
        <w:t xml:space="preserve">(b), we compare three crosstalk strengths, of which </w:t>
      </w:r>
      <w:r w:rsidRPr="00114FCC">
        <w:rPr>
          <w:rFonts w:ascii="Segoe UI" w:hAnsi="Segoe UI" w:cs="Segoe UI"/>
          <w:i/>
          <w:iCs/>
          <w:sz w:val="22"/>
          <w:szCs w:val="22"/>
        </w:rPr>
        <w:t>K</w:t>
      </w:r>
      <w:r w:rsidRPr="00114FCC">
        <w:rPr>
          <w:rFonts w:ascii="Segoe UI" w:hAnsi="Segoe UI" w:cs="Segoe UI"/>
          <w:sz w:val="22"/>
          <w:szCs w:val="22"/>
          <w:vertAlign w:val="subscript"/>
        </w:rPr>
        <w:t>0</w:t>
      </w:r>
      <w:r w:rsidRPr="00114FCC">
        <w:rPr>
          <w:rFonts w:ascii="Segoe UI" w:hAnsi="Segoe UI" w:cs="Segoe UI"/>
          <w:sz w:val="22"/>
          <w:szCs w:val="22"/>
        </w:rPr>
        <w:t xml:space="preserve"> = 0.0</w:t>
      </w:r>
      <w:r w:rsidR="00B11C14" w:rsidRPr="00114FCC">
        <w:rPr>
          <w:rFonts w:ascii="Segoe UI" w:hAnsi="Segoe UI" w:cs="Segoe UI" w:hint="eastAsia"/>
          <w:sz w:val="22"/>
          <w:szCs w:val="22"/>
        </w:rPr>
        <w:t>2</w:t>
      </w:r>
      <w:r w:rsidRPr="00114FCC">
        <w:rPr>
          <w:rFonts w:ascii="Segoe UI" w:hAnsi="Segoe UI" w:cs="Segoe UI"/>
          <w:sz w:val="22"/>
          <w:szCs w:val="22"/>
        </w:rPr>
        <w:t xml:space="preserve"> serves as a representative value within the realistic range for our platform.</w:t>
      </w:r>
      <w:r w:rsidRPr="00114FCC">
        <w:rPr>
          <w:rFonts w:ascii="Segoe UI" w:hAnsi="Segoe UI" w:cs="Segoe UI" w:hint="eastAsia"/>
          <w:sz w:val="22"/>
          <w:szCs w:val="22"/>
        </w:rPr>
        <w:t xml:space="preserve"> </w:t>
      </w:r>
      <w:r w:rsidRPr="00114FCC">
        <w:rPr>
          <w:rFonts w:ascii="Segoe UI" w:hAnsi="Segoe UI" w:cs="Segoe UI"/>
          <w:sz w:val="22"/>
          <w:szCs w:val="22"/>
        </w:rPr>
        <w:t xml:space="preserve">For each matrix size </w:t>
      </w:r>
      <w:r w:rsidRPr="00114FCC">
        <w:rPr>
          <w:rFonts w:ascii="Segoe UI" w:hAnsi="Segoe UI" w:cs="Segoe UI"/>
          <w:i/>
          <w:iCs/>
          <w:sz w:val="22"/>
          <w:szCs w:val="22"/>
        </w:rPr>
        <w:t>N</w:t>
      </w:r>
      <w:r w:rsidRPr="00114FCC">
        <w:rPr>
          <w:rFonts w:ascii="Segoe UI" w:hAnsi="Segoe UI" w:cs="Segoe UI"/>
          <w:sz w:val="22"/>
          <w:szCs w:val="22"/>
        </w:rPr>
        <w:t xml:space="preserve"> and crosstalk level, we sampled 100 random phase configurations, computed the implemented matrix under the crosstalk model, and evaluated the amplitude fidelity</w:t>
      </w:r>
    </w:p>
    <w:p w14:paraId="23858292" w14:textId="77777777" w:rsidR="00BE74B5" w:rsidRPr="00114FCC" w:rsidRDefault="00BE74B5" w:rsidP="00BE74B5">
      <w:pPr>
        <w:adjustRightInd w:val="0"/>
        <w:snapToGrid w:val="0"/>
        <w:rPr>
          <w:rFonts w:ascii="Segoe UI" w:hAnsi="Segoe UI" w:cs="Segoe UI"/>
          <w:sz w:val="22"/>
          <w:szCs w:val="22"/>
        </w:rPr>
      </w:pPr>
    </w:p>
    <w:p w14:paraId="53EEF0D5" w14:textId="77777777" w:rsidR="00BE74B5" w:rsidRPr="00114FCC" w:rsidRDefault="00BE74B5" w:rsidP="00BE74B5">
      <w:pPr>
        <w:adjustRightInd w:val="0"/>
        <w:snapToGrid w:val="0"/>
        <w:rPr>
          <w:rFonts w:ascii="Segoe UI" w:hAnsi="Segoe UI" w:cs="Segoe UI"/>
          <w:sz w:val="22"/>
          <w:szCs w:val="22"/>
        </w:rPr>
      </w:pPr>
      <m:oMath>
        <m:r>
          <w:rPr>
            <w:rFonts w:ascii="Cambria Math" w:hAnsi="Cambria Math" w:cs="Segoe UI"/>
            <w:sz w:val="22"/>
            <w:szCs w:val="22"/>
          </w:rPr>
          <m:t>F=</m:t>
        </m:r>
        <m:f>
          <m:fPr>
            <m:ctrlPr>
              <w:rPr>
                <w:rFonts w:ascii="Cambria Math" w:hAnsi="Cambria Math" w:cs="Segoe UI"/>
                <w:i/>
                <w:sz w:val="22"/>
                <w:szCs w:val="22"/>
              </w:rPr>
            </m:ctrlPr>
          </m:fPr>
          <m:num>
            <m:sSup>
              <m:sSupPr>
                <m:ctrlPr>
                  <w:rPr>
                    <w:rFonts w:ascii="Cambria Math" w:hAnsi="Cambria Math" w:cs="Segoe UI"/>
                    <w:i/>
                    <w:sz w:val="22"/>
                    <w:szCs w:val="22"/>
                  </w:rPr>
                </m:ctrlPr>
              </m:sSupPr>
              <m:e>
                <m:d>
                  <m:dPr>
                    <m:begChr m:val="|"/>
                    <m:endChr m:val="|"/>
                    <m:ctrlPr>
                      <w:rPr>
                        <w:rFonts w:ascii="Cambria Math" w:hAnsi="Cambria Math" w:cs="Segoe UI"/>
                        <w:i/>
                        <w:sz w:val="22"/>
                        <w:szCs w:val="22"/>
                      </w:rPr>
                    </m:ctrlPr>
                  </m:dPr>
                  <m:e>
                    <m:r>
                      <w:rPr>
                        <w:rFonts w:ascii="Cambria Math" w:hAnsi="Cambria Math" w:cs="Segoe UI"/>
                        <w:sz w:val="22"/>
                        <w:szCs w:val="22"/>
                      </w:rPr>
                      <m:t>Tr</m:t>
                    </m:r>
                    <m:d>
                      <m:dPr>
                        <m:ctrlPr>
                          <w:rPr>
                            <w:rFonts w:ascii="Cambria Math" w:hAnsi="Cambria Math" w:cs="Segoe UI"/>
                            <w:i/>
                            <w:sz w:val="22"/>
                            <w:szCs w:val="22"/>
                          </w:rPr>
                        </m:ctrlPr>
                      </m:dPr>
                      <m:e>
                        <m:sSup>
                          <m:sSupPr>
                            <m:ctrlPr>
                              <w:rPr>
                                <w:rFonts w:ascii="Cambria Math" w:hAnsi="Cambria Math" w:cs="Segoe UI"/>
                                <w:i/>
                                <w:sz w:val="22"/>
                                <w:szCs w:val="22"/>
                              </w:rPr>
                            </m:ctrlPr>
                          </m:sSupPr>
                          <m:e>
                            <m:r>
                              <w:rPr>
                                <w:rFonts w:ascii="Cambria Math" w:hAnsi="Cambria Math" w:cs="Segoe UI"/>
                                <w:sz w:val="22"/>
                                <w:szCs w:val="22"/>
                              </w:rPr>
                              <m:t>U</m:t>
                            </m:r>
                          </m:e>
                          <m:sup>
                            <m:r>
                              <w:rPr>
                                <w:rFonts w:ascii="Cambria Math" w:hAnsi="Cambria Math" w:cs="Segoe UI"/>
                                <w:sz w:val="22"/>
                                <w:szCs w:val="22"/>
                              </w:rPr>
                              <m:t>†</m:t>
                            </m:r>
                          </m:sup>
                        </m:sSup>
                        <m:acc>
                          <m:accPr>
                            <m:ctrlPr>
                              <w:rPr>
                                <w:rFonts w:ascii="Cambria Math" w:hAnsi="Cambria Math" w:cs="Segoe UI"/>
                                <w:i/>
                                <w:sz w:val="22"/>
                                <w:szCs w:val="22"/>
                              </w:rPr>
                            </m:ctrlPr>
                          </m:accPr>
                          <m:e>
                            <m:r>
                              <w:rPr>
                                <w:rFonts w:ascii="Cambria Math" w:hAnsi="Cambria Math" w:cs="Segoe UI"/>
                                <w:sz w:val="22"/>
                                <w:szCs w:val="22"/>
                              </w:rPr>
                              <m:t>U</m:t>
                            </m:r>
                          </m:e>
                        </m:acc>
                      </m:e>
                    </m:d>
                  </m:e>
                </m:d>
              </m:e>
              <m:sup>
                <m:r>
                  <w:rPr>
                    <w:rFonts w:ascii="Cambria Math" w:hAnsi="Cambria Math" w:cs="Segoe UI"/>
                    <w:sz w:val="22"/>
                    <w:szCs w:val="22"/>
                  </w:rPr>
                  <m:t>2</m:t>
                </m:r>
              </m:sup>
            </m:sSup>
          </m:num>
          <m:den>
            <m:sSup>
              <m:sSupPr>
                <m:ctrlPr>
                  <w:rPr>
                    <w:rFonts w:ascii="Cambria Math" w:hAnsi="Cambria Math" w:cs="Segoe UI"/>
                    <w:i/>
                    <w:sz w:val="22"/>
                    <w:szCs w:val="22"/>
                  </w:rPr>
                </m:ctrlPr>
              </m:sSupPr>
              <m:e>
                <m:r>
                  <w:rPr>
                    <w:rFonts w:ascii="Cambria Math" w:hAnsi="Cambria Math" w:cs="Segoe UI"/>
                    <w:sz w:val="22"/>
                    <w:szCs w:val="22"/>
                  </w:rPr>
                  <m:t>N</m:t>
                </m:r>
              </m:e>
              <m:sup>
                <m:r>
                  <w:rPr>
                    <w:rFonts w:ascii="Cambria Math" w:hAnsi="Cambria Math" w:cs="Segoe UI"/>
                    <w:sz w:val="22"/>
                    <w:szCs w:val="22"/>
                  </w:rPr>
                  <m:t>2</m:t>
                </m:r>
              </m:sup>
            </m:sSup>
          </m:den>
        </m:f>
      </m:oMath>
      <w:r w:rsidRPr="00114FCC">
        <w:rPr>
          <w:rFonts w:ascii="Segoe UI" w:hAnsi="Segoe UI" w:cs="Segoe UI"/>
          <w:sz w:val="22"/>
          <w:szCs w:val="22"/>
        </w:rPr>
        <w:tab/>
        <w:t>(S3)</w:t>
      </w:r>
    </w:p>
    <w:p w14:paraId="1099F466" w14:textId="77777777" w:rsidR="00BE74B5" w:rsidRPr="00114FCC" w:rsidRDefault="00BE74B5" w:rsidP="00BE74B5">
      <w:pPr>
        <w:adjustRightInd w:val="0"/>
        <w:snapToGrid w:val="0"/>
        <w:rPr>
          <w:rFonts w:ascii="Segoe UI" w:hAnsi="Segoe UI" w:cs="Segoe UI"/>
          <w:sz w:val="22"/>
          <w:szCs w:val="22"/>
        </w:rPr>
      </w:pPr>
    </w:p>
    <w:p w14:paraId="7C933E82" w14:textId="77B39A6F" w:rsidR="00810EBA" w:rsidRPr="00114FCC" w:rsidRDefault="00BE74B5" w:rsidP="00A52B55">
      <w:pPr>
        <w:adjustRightInd w:val="0"/>
        <w:snapToGrid w:val="0"/>
        <w:rPr>
          <w:rFonts w:ascii="Segoe UI" w:hAnsi="Segoe UI" w:cs="Segoe UI"/>
          <w:sz w:val="22"/>
          <w:szCs w:val="22"/>
        </w:rPr>
      </w:pPr>
      <w:r w:rsidRPr="00114FCC">
        <w:rPr>
          <w:rFonts w:ascii="Segoe UI" w:hAnsi="Segoe UI" w:cs="Segoe UI"/>
          <w:sz w:val="22"/>
          <w:szCs w:val="22"/>
        </w:rPr>
        <w:t>reporting the mean (and standard deviation) over the 100 trials. Across all conditions, the fidelity decreases monotonically with matrix size, and at any fixed size, stronger crosstalk yields lower fidelity, highlighting thermal crosstalk as a key scalability bottleneck. Suppressing or compensating crosstalk is therefore essential to maintain high fidelity for larger meshes.</w:t>
      </w:r>
    </w:p>
    <w:p w14:paraId="6E5B5764" w14:textId="267F5AE8" w:rsidR="003E67AE" w:rsidRPr="00114FCC" w:rsidRDefault="003E67AE" w:rsidP="003E67AE">
      <w:pPr>
        <w:pStyle w:val="1"/>
        <w:rPr>
          <w:rFonts w:eastAsiaTheme="minorEastAsia"/>
        </w:rPr>
      </w:pPr>
      <w:r w:rsidRPr="00114FCC">
        <w:t>S</w:t>
      </w:r>
      <w:r w:rsidRPr="00114FCC">
        <w:rPr>
          <w:rFonts w:eastAsiaTheme="minorEastAsia" w:hint="eastAsia"/>
        </w:rPr>
        <w:t>6</w:t>
      </w:r>
      <w:r w:rsidRPr="00114FCC">
        <w:t xml:space="preserve">. </w:t>
      </w:r>
      <w:r w:rsidRPr="00114FCC">
        <w:rPr>
          <w:rFonts w:eastAsiaTheme="minorEastAsia" w:hint="eastAsia"/>
        </w:rPr>
        <w:t>Influence on fidelity by parameter updates on different approaches</w:t>
      </w:r>
    </w:p>
    <w:p w14:paraId="41349CD0" w14:textId="14FE8029" w:rsidR="003E67AE" w:rsidRPr="00114FCC" w:rsidRDefault="003E67AE" w:rsidP="003E67AE">
      <w:pPr>
        <w:adjustRightInd w:val="0"/>
        <w:snapToGrid w:val="0"/>
        <w:rPr>
          <w:rFonts w:ascii="Segoe UI" w:hAnsi="Segoe UI" w:cs="Segoe UI"/>
          <w:sz w:val="22"/>
          <w:szCs w:val="22"/>
        </w:rPr>
      </w:pPr>
      <w:r w:rsidRPr="00114FCC">
        <w:rPr>
          <w:rFonts w:ascii="Segoe UI" w:hAnsi="Segoe UI" w:cs="Segoe UI"/>
          <w:sz w:val="22"/>
          <w:szCs w:val="22"/>
        </w:rPr>
        <w:t>Figure S</w:t>
      </w:r>
      <w:r w:rsidRPr="00114FCC">
        <w:rPr>
          <w:rFonts w:ascii="Segoe UI" w:hAnsi="Segoe UI" w:cs="Segoe UI" w:hint="eastAsia"/>
          <w:sz w:val="22"/>
          <w:szCs w:val="22"/>
        </w:rPr>
        <w:t>5</w:t>
      </w:r>
      <w:r w:rsidRPr="00114FCC">
        <w:rPr>
          <w:rFonts w:ascii="Segoe UI" w:hAnsi="Segoe UI" w:cs="Segoe UI"/>
          <w:sz w:val="22"/>
          <w:szCs w:val="22"/>
        </w:rPr>
        <w:t xml:space="preserve"> compares the correlation between experimental and simulated outputs under different conditions, to evaluate how </w:t>
      </w:r>
      <w:r w:rsidRPr="00114FCC">
        <w:rPr>
          <w:rFonts w:ascii="Segoe UI" w:hAnsi="Segoe UI" w:cs="Segoe UI" w:hint="eastAsia"/>
          <w:sz w:val="22"/>
          <w:szCs w:val="22"/>
        </w:rPr>
        <w:t xml:space="preserve">circuit </w:t>
      </w:r>
      <w:r w:rsidRPr="00114FCC">
        <w:rPr>
          <w:rFonts w:ascii="Segoe UI" w:hAnsi="Segoe UI" w:cs="Segoe UI"/>
          <w:sz w:val="22"/>
          <w:szCs w:val="22"/>
        </w:rPr>
        <w:t xml:space="preserve">model fidelity changes after </w:t>
      </w:r>
      <w:r w:rsidR="0056718F" w:rsidRPr="00114FCC">
        <w:rPr>
          <w:rFonts w:ascii="Segoe UI" w:hAnsi="Segoe UI" w:cs="Segoe UI"/>
          <w:sz w:val="22"/>
          <w:szCs w:val="22"/>
        </w:rPr>
        <w:t>phase</w:t>
      </w:r>
      <w:r w:rsidR="0056718F" w:rsidRPr="00114FCC">
        <w:rPr>
          <w:rFonts w:ascii="Segoe UI" w:hAnsi="Segoe UI" w:cs="Segoe UI" w:hint="eastAsia"/>
          <w:sz w:val="22"/>
          <w:szCs w:val="22"/>
        </w:rPr>
        <w:t xml:space="preserve"> </w:t>
      </w:r>
      <w:r w:rsidRPr="00114FCC">
        <w:rPr>
          <w:rFonts w:ascii="Segoe UI" w:hAnsi="Segoe UI" w:cs="Segoe UI"/>
          <w:sz w:val="22"/>
          <w:szCs w:val="22"/>
        </w:rPr>
        <w:t>parameter updates in the MNIST experiments of Figs. 3(c) and 3(d). In the iterative CPL case (Fig. S</w:t>
      </w:r>
      <w:r w:rsidR="0056718F" w:rsidRPr="00114FCC">
        <w:rPr>
          <w:rFonts w:ascii="Segoe UI" w:hAnsi="Segoe UI" w:cs="Segoe UI" w:hint="eastAsia"/>
          <w:sz w:val="22"/>
          <w:szCs w:val="22"/>
        </w:rPr>
        <w:t>5</w:t>
      </w:r>
      <w:r w:rsidRPr="00114FCC">
        <w:rPr>
          <w:rFonts w:ascii="Segoe UI" w:hAnsi="Segoe UI" w:cs="Segoe UI"/>
          <w:sz w:val="22"/>
          <w:szCs w:val="22"/>
        </w:rPr>
        <w:t>(a)), the initial correlation is high (R</w:t>
      </w:r>
      <w:r w:rsidRPr="00114FCC">
        <w:rPr>
          <w:rFonts w:ascii="Segoe UI" w:hAnsi="Segoe UI" w:cs="Segoe UI"/>
          <w:sz w:val="22"/>
          <w:szCs w:val="22"/>
          <w:vertAlign w:val="superscript"/>
        </w:rPr>
        <w:t>2</w:t>
      </w:r>
      <w:r w:rsidRPr="00114FCC">
        <w:rPr>
          <w:rFonts w:ascii="Segoe UI" w:hAnsi="Segoe UI" w:cs="Segoe UI"/>
          <w:sz w:val="22"/>
          <w:szCs w:val="22"/>
        </w:rPr>
        <w:t xml:space="preserve"> = 0.913, as in Fig. 2(b)), but it drops noticeably after the phase parameters are updated. This decline indicates that the learned circuit model is </w:t>
      </w:r>
      <w:r w:rsidRPr="00114FCC">
        <w:rPr>
          <w:rFonts w:ascii="Segoe UI" w:hAnsi="Segoe UI" w:cs="Segoe UI"/>
          <w:sz w:val="22"/>
          <w:szCs w:val="22"/>
        </w:rPr>
        <w:lastRenderedPageBreak/>
        <w:t>not robust to phase perturbations, consistent with the lower MNIST accuracy of 68.3%. By contrast, in iterative disorder-aware CPL, R</w:t>
      </w:r>
      <w:r w:rsidRPr="00114FCC">
        <w:rPr>
          <w:rFonts w:ascii="Segoe UI" w:hAnsi="Segoe UI" w:cs="Segoe UI"/>
          <w:sz w:val="22"/>
          <w:szCs w:val="22"/>
          <w:vertAlign w:val="superscript"/>
        </w:rPr>
        <w:t>2</w:t>
      </w:r>
      <w:r w:rsidRPr="00114FCC">
        <w:rPr>
          <w:rFonts w:ascii="Segoe UI" w:hAnsi="Segoe UI" w:cs="Segoe UI"/>
          <w:sz w:val="22"/>
          <w:szCs w:val="22"/>
        </w:rPr>
        <w:t xml:space="preserve"> remains nearly unchanged—or even improves—after updates, showing that the model is much more resilient to phase perturbations</w:t>
      </w:r>
      <w:r w:rsidR="0056718F" w:rsidRPr="00114FCC">
        <w:rPr>
          <w:rFonts w:ascii="Segoe UI" w:hAnsi="Segoe UI" w:cs="Segoe UI" w:hint="eastAsia"/>
          <w:sz w:val="22"/>
          <w:szCs w:val="22"/>
        </w:rPr>
        <w:t xml:space="preserve"> (</w:t>
      </w:r>
      <w:r w:rsidR="0056718F" w:rsidRPr="00114FCC">
        <w:rPr>
          <w:rFonts w:ascii="Segoe UI" w:hAnsi="Segoe UI" w:cs="Segoe UI"/>
          <w:sz w:val="22"/>
          <w:szCs w:val="22"/>
        </w:rPr>
        <w:t>Fig. S</w:t>
      </w:r>
      <w:r w:rsidR="0056718F" w:rsidRPr="00114FCC">
        <w:rPr>
          <w:rFonts w:ascii="Segoe UI" w:hAnsi="Segoe UI" w:cs="Segoe UI" w:hint="eastAsia"/>
          <w:sz w:val="22"/>
          <w:szCs w:val="22"/>
        </w:rPr>
        <w:t>5</w:t>
      </w:r>
      <w:r w:rsidR="0056718F" w:rsidRPr="00114FCC">
        <w:rPr>
          <w:rFonts w:ascii="Segoe UI" w:hAnsi="Segoe UI" w:cs="Segoe UI"/>
          <w:sz w:val="22"/>
          <w:szCs w:val="22"/>
        </w:rPr>
        <w:t>(</w:t>
      </w:r>
      <w:r w:rsidR="0056718F" w:rsidRPr="00114FCC">
        <w:rPr>
          <w:rFonts w:ascii="Segoe UI" w:hAnsi="Segoe UI" w:cs="Segoe UI" w:hint="eastAsia"/>
          <w:sz w:val="22"/>
          <w:szCs w:val="22"/>
        </w:rPr>
        <w:t>b</w:t>
      </w:r>
      <w:r w:rsidR="0056718F" w:rsidRPr="00114FCC">
        <w:rPr>
          <w:rFonts w:ascii="Segoe UI" w:hAnsi="Segoe UI" w:cs="Segoe UI"/>
          <w:sz w:val="22"/>
          <w:szCs w:val="22"/>
        </w:rPr>
        <w:t>)</w:t>
      </w:r>
      <w:r w:rsidR="0056718F" w:rsidRPr="00114FCC">
        <w:rPr>
          <w:rFonts w:ascii="Segoe UI" w:hAnsi="Segoe UI" w:cs="Segoe UI" w:hint="eastAsia"/>
          <w:sz w:val="22"/>
          <w:szCs w:val="22"/>
        </w:rPr>
        <w:t>)</w:t>
      </w:r>
      <w:r w:rsidRPr="00114FCC">
        <w:rPr>
          <w:rFonts w:ascii="Segoe UI" w:hAnsi="Segoe UI" w:cs="Segoe UI"/>
          <w:sz w:val="22"/>
          <w:szCs w:val="22"/>
        </w:rPr>
        <w:t>. The improved R</w:t>
      </w:r>
      <w:r w:rsidRPr="00114FCC">
        <w:rPr>
          <w:rFonts w:ascii="Segoe UI" w:hAnsi="Segoe UI" w:cs="Segoe UI"/>
          <w:sz w:val="22"/>
          <w:szCs w:val="22"/>
          <w:vertAlign w:val="superscript"/>
        </w:rPr>
        <w:t>2</w:t>
      </w:r>
      <w:r w:rsidRPr="00114FCC">
        <w:rPr>
          <w:rFonts w:ascii="Segoe UI" w:hAnsi="Segoe UI" w:cs="Segoe UI"/>
          <w:sz w:val="22"/>
          <w:szCs w:val="22"/>
        </w:rPr>
        <w:t xml:space="preserve"> stability directly explains the higher classification accuracy and confirms the effectiveness of the disorder-aware iterative approach.</w:t>
      </w:r>
      <w:r w:rsidR="0056718F" w:rsidRPr="00114FCC">
        <w:rPr>
          <w:rFonts w:ascii="Segoe UI" w:hAnsi="Segoe UI" w:cs="Segoe UI" w:hint="eastAsia"/>
          <w:sz w:val="22"/>
          <w:szCs w:val="22"/>
        </w:rPr>
        <w:t xml:space="preserve"> </w:t>
      </w:r>
      <w:r w:rsidR="0056718F" w:rsidRPr="00114FCC">
        <w:rPr>
          <w:rFonts w:ascii="Segoe UI" w:hAnsi="Segoe UI" w:cs="Segoe UI"/>
          <w:sz w:val="22"/>
          <w:szCs w:val="22"/>
        </w:rPr>
        <w:t xml:space="preserve">It should be noted that the R² after </w:t>
      </w:r>
      <w:r w:rsidR="0056718F" w:rsidRPr="00114FCC">
        <w:rPr>
          <w:rFonts w:ascii="Segoe UI" w:hAnsi="Segoe UI" w:cs="Segoe UI" w:hint="eastAsia"/>
          <w:sz w:val="22"/>
          <w:szCs w:val="22"/>
        </w:rPr>
        <w:t>CPL</w:t>
      </w:r>
      <w:r w:rsidR="0056718F" w:rsidRPr="00114FCC">
        <w:rPr>
          <w:rFonts w:ascii="Segoe UI" w:hAnsi="Segoe UI" w:cs="Segoe UI"/>
          <w:sz w:val="22"/>
          <w:szCs w:val="22"/>
        </w:rPr>
        <w:t xml:space="preserve"> is lower for iterative disorder-aware CPL (R² = 0.8</w:t>
      </w:r>
      <w:r w:rsidR="00167040" w:rsidRPr="00114FCC">
        <w:rPr>
          <w:rFonts w:ascii="Segoe UI" w:hAnsi="Segoe UI" w:cs="Segoe UI" w:hint="eastAsia"/>
          <w:sz w:val="22"/>
          <w:szCs w:val="22"/>
        </w:rPr>
        <w:t>72</w:t>
      </w:r>
      <w:r w:rsidR="0056718F" w:rsidRPr="00114FCC">
        <w:rPr>
          <w:rFonts w:ascii="Segoe UI" w:hAnsi="Segoe UI" w:cs="Segoe UI"/>
          <w:sz w:val="22"/>
          <w:szCs w:val="22"/>
        </w:rPr>
        <w:t>) than for standard iterative CPL (R² = 0.913). This difference arises because disorder-aware CPL intentionally introduces random phase perturbations during data acquisition, effectively averaging circuit responses over a distribution of phase configurations rather than fitting a single fixed operating point. As a result, the learned model sacrifices peak fidelity at one specific phase setting in exchange for improved robustness over a broader phase space. This trade-off leads to a slightly reduced R² when evaluated at a fixed phase configuration, while enabling significantly greater stability under subsequent phase updates and yielding higher MNIST classification accuracy.</w:t>
      </w:r>
    </w:p>
    <w:p w14:paraId="0CD3839C" w14:textId="0EB7E18A" w:rsidR="005859B6" w:rsidRPr="00114FCC" w:rsidRDefault="005859B6" w:rsidP="007768FC">
      <w:pPr>
        <w:pStyle w:val="1"/>
      </w:pPr>
      <w:r w:rsidRPr="00114FCC">
        <w:t>S</w:t>
      </w:r>
      <w:r w:rsidR="00F941D7" w:rsidRPr="00114FCC">
        <w:rPr>
          <w:rFonts w:eastAsiaTheme="minorEastAsia" w:hint="eastAsia"/>
        </w:rPr>
        <w:t>7</w:t>
      </w:r>
      <w:r w:rsidRPr="00114FCC">
        <w:t>. Simulation results of wavelength dependence in MNIST classification with experimental couplers</w:t>
      </w:r>
    </w:p>
    <w:p w14:paraId="49A69A33" w14:textId="183AB83A" w:rsidR="005859B6" w:rsidRPr="00114FCC" w:rsidRDefault="00DC0AFD" w:rsidP="00A52B55">
      <w:pPr>
        <w:adjustRightInd w:val="0"/>
        <w:snapToGrid w:val="0"/>
        <w:rPr>
          <w:rFonts w:ascii="Segoe UI" w:hAnsi="Segoe UI" w:cs="Segoe UI"/>
          <w:sz w:val="22"/>
          <w:szCs w:val="22"/>
        </w:rPr>
      </w:pPr>
      <w:r w:rsidRPr="00114FCC">
        <w:rPr>
          <w:rFonts w:ascii="Segoe UI" w:hAnsi="Segoe UI" w:cs="Segoe UI"/>
          <w:sz w:val="22"/>
          <w:szCs w:val="22"/>
        </w:rPr>
        <w:t>We investigated the wavelength dependence of MNIST classification accuracy by constructing a circuit model incorporating varying degrees of fabrication error and examining how accuracy responds to changes in input wavelength. The circuit model accounts for optical path length differences at two positions, corresponding to the PS locations, following a Gaussian distribution. The standard deviation (σ) ranges from 10</w:t>
      </w:r>
      <w:r w:rsidRPr="00114FCC">
        <w:rPr>
          <w:rFonts w:ascii="Segoe UI" w:hAnsi="Segoe UI" w:cs="Segoe UI"/>
          <w:sz w:val="22"/>
          <w:szCs w:val="22"/>
          <w:vertAlign w:val="superscript"/>
        </w:rPr>
        <w:t>-5</w:t>
      </w:r>
      <w:r w:rsidRPr="00114FCC">
        <w:rPr>
          <w:rFonts w:ascii="Segoe UI" w:hAnsi="Segoe UI" w:cs="Segoe UI"/>
          <w:sz w:val="22"/>
          <w:szCs w:val="22"/>
        </w:rPr>
        <w:t xml:space="preserve"> to 10</w:t>
      </w:r>
      <w:r w:rsidRPr="00114FCC">
        <w:rPr>
          <w:rFonts w:ascii="Segoe UI" w:hAnsi="Segoe UI" w:cs="Segoe UI"/>
          <w:sz w:val="22"/>
          <w:szCs w:val="22"/>
          <w:vertAlign w:val="superscript"/>
        </w:rPr>
        <w:t>-9</w:t>
      </w:r>
      <w:r w:rsidRPr="00114FCC">
        <w:rPr>
          <w:rFonts w:ascii="Segoe UI" w:hAnsi="Segoe UI" w:cs="Segoe UI"/>
          <w:sz w:val="22"/>
          <w:szCs w:val="22"/>
        </w:rPr>
        <w:t>. Each MZI in the model included directional couplers (DCs) with a</w:t>
      </w:r>
      <w:r w:rsidR="001C5486" w:rsidRPr="00114FCC">
        <w:rPr>
          <w:rFonts w:ascii="Segoe UI" w:hAnsi="Segoe UI" w:cs="Segoe UI" w:hint="eastAsia"/>
          <w:sz w:val="22"/>
          <w:szCs w:val="22"/>
        </w:rPr>
        <w:t>n experimental</w:t>
      </w:r>
      <w:r w:rsidRPr="00114FCC">
        <w:rPr>
          <w:rFonts w:ascii="Segoe UI" w:hAnsi="Segoe UI" w:cs="Segoe UI"/>
          <w:sz w:val="22"/>
          <w:szCs w:val="22"/>
        </w:rPr>
        <w:t xml:space="preserve"> wavelength-dependent splitting ratio modeled as linear</w:t>
      </w:r>
      <w:r w:rsidR="001C5486" w:rsidRPr="00114FCC">
        <w:rPr>
          <w:rFonts w:ascii="Segoe UI" w:hAnsi="Segoe UI" w:cs="Segoe UI" w:hint="eastAsia"/>
          <w:sz w:val="22"/>
          <w:szCs w:val="22"/>
        </w:rPr>
        <w:t xml:space="preserve">. </w:t>
      </w:r>
      <w:r w:rsidRPr="00114FCC">
        <w:rPr>
          <w:rFonts w:ascii="Segoe UI" w:hAnsi="Segoe UI" w:cs="Segoe UI"/>
          <w:sz w:val="22"/>
          <w:szCs w:val="22"/>
        </w:rPr>
        <w:t>Following the experimental calibration procedure, we optimized the PS settings at a single wavelength to maximize MNIST classification accuracy. The PS</w:t>
      </w:r>
      <w:r w:rsidR="00FA1E89" w:rsidRPr="00114FCC">
        <w:rPr>
          <w:rFonts w:ascii="Segoe UI" w:hAnsi="Segoe UI" w:cs="Segoe UI" w:hint="eastAsia"/>
          <w:sz w:val="22"/>
          <w:szCs w:val="22"/>
        </w:rPr>
        <w:t xml:space="preserve"> </w:t>
      </w:r>
      <w:r w:rsidR="00DA672B" w:rsidRPr="00114FCC">
        <w:rPr>
          <w:rFonts w:ascii="Segoe UI" w:hAnsi="Segoe UI" w:cs="Segoe UI" w:hint="eastAsia"/>
          <w:sz w:val="22"/>
          <w:szCs w:val="22"/>
        </w:rPr>
        <w:t>setting</w:t>
      </w:r>
      <w:r w:rsidRPr="00114FCC">
        <w:rPr>
          <w:rFonts w:ascii="Segoe UI" w:hAnsi="Segoe UI" w:cs="Segoe UI"/>
          <w:sz w:val="22"/>
          <w:szCs w:val="22"/>
        </w:rPr>
        <w:t xml:space="preserve">s were calculated considering the TO effect. After optimization, the input wavelength was swept away from the calibrated wavelength. Variations in wavelength introduced </w:t>
      </w:r>
      <w:r w:rsidR="00DA672B" w:rsidRPr="00114FCC">
        <w:rPr>
          <w:rFonts w:ascii="Segoe UI" w:hAnsi="Segoe UI" w:cs="Segoe UI" w:hint="eastAsia"/>
          <w:sz w:val="22"/>
          <w:szCs w:val="22"/>
        </w:rPr>
        <w:t xml:space="preserve">the </w:t>
      </w:r>
      <w:r w:rsidRPr="00114FCC">
        <w:rPr>
          <w:rFonts w:ascii="Segoe UI" w:hAnsi="Segoe UI" w:cs="Segoe UI"/>
          <w:sz w:val="22"/>
          <w:szCs w:val="22"/>
        </w:rPr>
        <w:t>corresponding phase shifts based on the optical path length differences. The phase shift δ was calculated using the following equation:</w:t>
      </w:r>
    </w:p>
    <w:p w14:paraId="0AFFA171" w14:textId="77777777" w:rsidR="00DC0AFD" w:rsidRPr="00114FCC" w:rsidRDefault="00DC0AFD" w:rsidP="00A52B55">
      <w:pPr>
        <w:adjustRightInd w:val="0"/>
        <w:snapToGrid w:val="0"/>
        <w:rPr>
          <w:rFonts w:ascii="Segoe UI" w:hAnsi="Segoe UI" w:cs="Segoe UI"/>
          <w:sz w:val="22"/>
          <w:szCs w:val="22"/>
        </w:rPr>
      </w:pPr>
    </w:p>
    <w:p w14:paraId="177674B7" w14:textId="134D2AF4" w:rsidR="005859B6" w:rsidRPr="00114FCC" w:rsidRDefault="00DC0AFD" w:rsidP="00A52B55">
      <w:pPr>
        <w:adjustRightInd w:val="0"/>
        <w:snapToGrid w:val="0"/>
        <w:rPr>
          <w:rFonts w:ascii="Segoe UI" w:hAnsi="Segoe UI" w:cs="Segoe UI"/>
          <w:sz w:val="22"/>
          <w:szCs w:val="22"/>
        </w:rPr>
      </w:pPr>
      <m:oMath>
        <m:r>
          <w:rPr>
            <w:rFonts w:ascii="Cambria Math" w:hAnsi="Cambria Math" w:cs="Segoe UI"/>
            <w:sz w:val="22"/>
            <w:szCs w:val="22"/>
          </w:rPr>
          <m:t>δ=</m:t>
        </m:r>
        <m:f>
          <m:fPr>
            <m:ctrlPr>
              <w:rPr>
                <w:rFonts w:ascii="Cambria Math" w:hAnsi="Cambria Math" w:cs="Segoe UI"/>
                <w:i/>
                <w:sz w:val="22"/>
                <w:szCs w:val="22"/>
              </w:rPr>
            </m:ctrlPr>
          </m:fPr>
          <m:num>
            <m:r>
              <w:rPr>
                <w:rFonts w:ascii="Cambria Math" w:hAnsi="Cambria Math" w:cs="Segoe UI"/>
                <w:sz w:val="22"/>
                <w:szCs w:val="22"/>
              </w:rPr>
              <m:t>2π</m:t>
            </m:r>
            <m:sSub>
              <m:sSubPr>
                <m:ctrlPr>
                  <w:rPr>
                    <w:rFonts w:ascii="Cambria Math" w:hAnsi="Cambria Math" w:cs="Segoe UI"/>
                    <w:i/>
                    <w:sz w:val="22"/>
                    <w:szCs w:val="22"/>
                  </w:rPr>
                </m:ctrlPr>
              </m:sSubPr>
              <m:e>
                <m:r>
                  <w:rPr>
                    <w:rFonts w:ascii="Cambria Math" w:hAnsi="Cambria Math" w:cs="Segoe UI"/>
                    <w:sz w:val="22"/>
                    <w:szCs w:val="22"/>
                  </w:rPr>
                  <m:t>n</m:t>
                </m:r>
              </m:e>
              <m:sub>
                <m:r>
                  <m:rPr>
                    <m:sty m:val="p"/>
                  </m:rPr>
                  <w:rPr>
                    <w:rFonts w:ascii="Cambria Math" w:hAnsi="Cambria Math" w:cs="Segoe UI"/>
                    <w:sz w:val="22"/>
                    <w:szCs w:val="22"/>
                  </w:rPr>
                  <m:t>eff</m:t>
                </m:r>
              </m:sub>
            </m:sSub>
            <m:r>
              <w:rPr>
                <w:rFonts w:ascii="Cambria Math" w:hAnsi="Cambria Math" w:cs="Segoe UI"/>
                <w:sz w:val="22"/>
                <w:szCs w:val="22"/>
              </w:rPr>
              <m:t>L</m:t>
            </m:r>
          </m:num>
          <m:den>
            <m:r>
              <w:rPr>
                <w:rFonts w:ascii="Cambria Math" w:hAnsi="Cambria Math" w:cs="Segoe UI"/>
                <w:sz w:val="22"/>
                <w:szCs w:val="22"/>
              </w:rPr>
              <m:t>λ</m:t>
            </m:r>
          </m:den>
        </m:f>
      </m:oMath>
      <w:r w:rsidRPr="00114FCC">
        <w:rPr>
          <w:rFonts w:ascii="Segoe UI" w:hAnsi="Segoe UI" w:cs="Segoe UI"/>
          <w:sz w:val="22"/>
          <w:szCs w:val="22"/>
        </w:rPr>
        <w:tab/>
      </w:r>
      <w:r w:rsidR="005859B6" w:rsidRPr="00114FCC">
        <w:rPr>
          <w:rFonts w:ascii="Segoe UI" w:hAnsi="Segoe UI" w:cs="Segoe UI"/>
          <w:sz w:val="22"/>
          <w:szCs w:val="22"/>
        </w:rPr>
        <w:t>(S4)</w:t>
      </w:r>
      <w:r w:rsidR="00DA672B" w:rsidRPr="00114FCC">
        <w:rPr>
          <w:rFonts w:ascii="Segoe UI" w:hAnsi="Segoe UI" w:cs="Segoe UI" w:hint="eastAsia"/>
          <w:sz w:val="22"/>
          <w:szCs w:val="22"/>
        </w:rPr>
        <w:t>,</w:t>
      </w:r>
    </w:p>
    <w:p w14:paraId="36685052" w14:textId="77777777" w:rsidR="005859B6" w:rsidRPr="00114FCC" w:rsidRDefault="005859B6" w:rsidP="00A52B55">
      <w:pPr>
        <w:adjustRightInd w:val="0"/>
        <w:snapToGrid w:val="0"/>
        <w:rPr>
          <w:rFonts w:ascii="Segoe UI" w:hAnsi="Segoe UI" w:cs="Segoe UI"/>
          <w:sz w:val="22"/>
          <w:szCs w:val="22"/>
        </w:rPr>
      </w:pPr>
    </w:p>
    <w:p w14:paraId="5ADE2A56" w14:textId="26332633" w:rsidR="005859B6" w:rsidRPr="00114FCC" w:rsidRDefault="00DA672B" w:rsidP="00A52B55">
      <w:pPr>
        <w:adjustRightInd w:val="0"/>
        <w:snapToGrid w:val="0"/>
        <w:rPr>
          <w:rFonts w:ascii="Segoe UI" w:hAnsi="Segoe UI" w:cs="Segoe UI"/>
          <w:sz w:val="22"/>
          <w:szCs w:val="22"/>
        </w:rPr>
      </w:pPr>
      <w:r w:rsidRPr="00114FCC">
        <w:rPr>
          <w:rFonts w:ascii="Segoe UI" w:hAnsi="Segoe UI" w:cs="Segoe UI" w:hint="eastAsia"/>
          <w:sz w:val="22"/>
          <w:szCs w:val="22"/>
        </w:rPr>
        <w:t>w</w:t>
      </w:r>
      <w:r w:rsidR="005859B6" w:rsidRPr="00114FCC">
        <w:rPr>
          <w:rFonts w:ascii="Segoe UI" w:hAnsi="Segoe UI" w:cs="Segoe UI"/>
          <w:sz w:val="22"/>
          <w:szCs w:val="22"/>
        </w:rPr>
        <w:t xml:space="preserve">here </w:t>
      </w:r>
      <w:r w:rsidR="005859B6" w:rsidRPr="00114FCC">
        <w:rPr>
          <w:rFonts w:ascii="Segoe UI" w:hAnsi="Segoe UI" w:cs="Segoe UI"/>
          <w:i/>
          <w:iCs/>
          <w:sz w:val="22"/>
          <w:szCs w:val="22"/>
        </w:rPr>
        <w:t>n</w:t>
      </w:r>
      <w:r w:rsidR="005859B6" w:rsidRPr="00114FCC">
        <w:rPr>
          <w:rFonts w:ascii="Segoe UI" w:hAnsi="Segoe UI" w:cs="Segoe UI"/>
          <w:sz w:val="22"/>
          <w:szCs w:val="22"/>
          <w:vertAlign w:val="subscript"/>
        </w:rPr>
        <w:t>eff</w:t>
      </w:r>
      <w:r w:rsidR="005859B6" w:rsidRPr="00114FCC">
        <w:rPr>
          <w:rFonts w:ascii="Segoe UI" w:hAnsi="Segoe UI" w:cs="Segoe UI"/>
          <w:sz w:val="22"/>
          <w:szCs w:val="22"/>
        </w:rPr>
        <w:t xml:space="preserve"> is the effective refractive index, </w:t>
      </w:r>
      <w:r w:rsidR="005859B6" w:rsidRPr="00114FCC">
        <w:rPr>
          <w:rFonts w:ascii="Segoe UI" w:hAnsi="Segoe UI" w:cs="Segoe UI"/>
          <w:i/>
          <w:iCs/>
          <w:sz w:val="22"/>
          <w:szCs w:val="22"/>
        </w:rPr>
        <w:t>L</w:t>
      </w:r>
      <w:r w:rsidR="005859B6" w:rsidRPr="00114FCC">
        <w:rPr>
          <w:rFonts w:ascii="Segoe UI" w:hAnsi="Segoe UI" w:cs="Segoe UI"/>
          <w:sz w:val="22"/>
          <w:szCs w:val="22"/>
        </w:rPr>
        <w:t xml:space="preserve"> is the optical path length difference, and λ is the input wavelength. The simulation results are shown in Fig. S</w:t>
      </w:r>
      <w:r w:rsidR="0056718F" w:rsidRPr="00114FCC">
        <w:rPr>
          <w:rFonts w:ascii="Segoe UI" w:hAnsi="Segoe UI" w:cs="Segoe UI" w:hint="eastAsia"/>
          <w:sz w:val="22"/>
          <w:szCs w:val="22"/>
        </w:rPr>
        <w:t>6</w:t>
      </w:r>
      <w:r w:rsidR="005859B6" w:rsidRPr="00114FCC">
        <w:rPr>
          <w:rFonts w:ascii="Segoe UI" w:hAnsi="Segoe UI" w:cs="Segoe UI"/>
          <w:sz w:val="22"/>
          <w:szCs w:val="22"/>
        </w:rPr>
        <w:t xml:space="preserve">(a). In regions with significant optical path length variance, the tolerance to wavelength variations improved as the optical path length difference decreased. This trend continued until the wavelength dependence of the </w:t>
      </w:r>
      <w:r w:rsidR="00DC0AFD" w:rsidRPr="00114FCC">
        <w:rPr>
          <w:rFonts w:ascii="Segoe UI" w:hAnsi="Segoe UI" w:cs="Segoe UI"/>
          <w:sz w:val="22"/>
          <w:szCs w:val="22"/>
        </w:rPr>
        <w:t>DC</w:t>
      </w:r>
      <w:r w:rsidR="005859B6" w:rsidRPr="00114FCC">
        <w:rPr>
          <w:rFonts w:ascii="Segoe UI" w:hAnsi="Segoe UI" w:cs="Segoe UI"/>
          <w:sz w:val="22"/>
          <w:szCs w:val="22"/>
        </w:rPr>
        <w:t xml:space="preserve"> became the limiting factor. As shown in Fig. S</w:t>
      </w:r>
      <w:r w:rsidR="0056718F" w:rsidRPr="00114FCC">
        <w:rPr>
          <w:rFonts w:ascii="Segoe UI" w:hAnsi="Segoe UI" w:cs="Segoe UI" w:hint="eastAsia"/>
          <w:sz w:val="22"/>
          <w:szCs w:val="22"/>
        </w:rPr>
        <w:t>6</w:t>
      </w:r>
      <w:r w:rsidR="005859B6" w:rsidRPr="00114FCC">
        <w:rPr>
          <w:rFonts w:ascii="Segoe UI" w:hAnsi="Segoe UI" w:cs="Segoe UI"/>
          <w:sz w:val="22"/>
          <w:szCs w:val="22"/>
        </w:rPr>
        <w:t xml:space="preserve">(b), by comparing the reduction in classification accuracy with our experimental data (Fig. </w:t>
      </w:r>
      <w:r w:rsidR="000D5E28" w:rsidRPr="00114FCC">
        <w:rPr>
          <w:rFonts w:ascii="Segoe UI" w:hAnsi="Segoe UI" w:cs="Segoe UI" w:hint="eastAsia"/>
          <w:sz w:val="22"/>
          <w:szCs w:val="22"/>
        </w:rPr>
        <w:t>4</w:t>
      </w:r>
      <w:r w:rsidR="005859B6" w:rsidRPr="00114FCC">
        <w:rPr>
          <w:rFonts w:ascii="Segoe UI" w:hAnsi="Segoe UI" w:cs="Segoe UI"/>
          <w:sz w:val="22"/>
          <w:szCs w:val="22"/>
        </w:rPr>
        <w:t xml:space="preserve"> in the main text), represented as a horizontal blue line, we estimate that the actual path length fluctuation in our device is on the order of tens of nanometers. This value aligns with the estimation derived from the initial phase error fluctuation in Fig. S</w:t>
      </w:r>
      <w:r w:rsidR="007F65A3" w:rsidRPr="00114FCC">
        <w:rPr>
          <w:rFonts w:ascii="Segoe UI" w:hAnsi="Segoe UI" w:cs="Segoe UI" w:hint="eastAsia"/>
          <w:sz w:val="22"/>
          <w:szCs w:val="22"/>
        </w:rPr>
        <w:t>2</w:t>
      </w:r>
      <w:r w:rsidR="005859B6" w:rsidRPr="00114FCC">
        <w:rPr>
          <w:rFonts w:ascii="Segoe UI" w:hAnsi="Segoe UI" w:cs="Segoe UI"/>
          <w:sz w:val="22"/>
          <w:szCs w:val="22"/>
        </w:rPr>
        <w:t>(b).</w:t>
      </w:r>
    </w:p>
    <w:p w14:paraId="180B0933" w14:textId="5FC2E020" w:rsidR="001D3BDC" w:rsidRPr="00114FCC" w:rsidRDefault="001D3BDC" w:rsidP="00A52B55">
      <w:pPr>
        <w:widowControl/>
        <w:jc w:val="left"/>
        <w:rPr>
          <w:rFonts w:ascii="Segoe UI" w:hAnsi="Segoe UI" w:cs="Segoe UI"/>
          <w:sz w:val="22"/>
          <w:szCs w:val="22"/>
        </w:rPr>
      </w:pPr>
      <w:r w:rsidRPr="00114FCC">
        <w:rPr>
          <w:rFonts w:ascii="Segoe UI" w:hAnsi="Segoe UI" w:cs="Segoe UI"/>
          <w:sz w:val="22"/>
          <w:szCs w:val="22"/>
        </w:rPr>
        <w:br w:type="page"/>
      </w:r>
    </w:p>
    <w:p w14:paraId="438EDC8B" w14:textId="1C54822E" w:rsidR="001D3BDC" w:rsidRPr="00114FCC" w:rsidRDefault="001D3BDC" w:rsidP="00A52B55">
      <w:pPr>
        <w:widowControl/>
        <w:pBdr>
          <w:top w:val="nil"/>
          <w:left w:val="nil"/>
          <w:bottom w:val="nil"/>
          <w:right w:val="nil"/>
          <w:between w:val="nil"/>
        </w:pBdr>
        <w:adjustRightInd w:val="0"/>
        <w:snapToGrid w:val="0"/>
        <w:jc w:val="center"/>
        <w:rPr>
          <w:rFonts w:ascii="Segoe UI" w:hAnsi="Segoe UI" w:cs="Segoe UI"/>
          <w:b/>
          <w:sz w:val="22"/>
          <w:szCs w:val="22"/>
        </w:rPr>
      </w:pPr>
      <w:r w:rsidRPr="00114FCC">
        <w:rPr>
          <w:rFonts w:ascii="Segoe UI" w:hAnsi="Segoe UI" w:cs="Segoe UI"/>
          <w:b/>
          <w:sz w:val="22"/>
          <w:szCs w:val="22"/>
        </w:rPr>
        <w:lastRenderedPageBreak/>
        <w:t>Table S1 Comparison with other reports.</w:t>
      </w:r>
    </w:p>
    <w:p w14:paraId="0DA52140" w14:textId="77777777" w:rsidR="00DC0AFD" w:rsidRPr="00114FCC" w:rsidRDefault="00DC0AFD" w:rsidP="00631656">
      <w:pPr>
        <w:widowControl/>
        <w:pBdr>
          <w:top w:val="nil"/>
          <w:left w:val="nil"/>
          <w:bottom w:val="nil"/>
          <w:right w:val="nil"/>
          <w:between w:val="nil"/>
        </w:pBdr>
        <w:adjustRightInd w:val="0"/>
        <w:snapToGrid w:val="0"/>
        <w:rPr>
          <w:rFonts w:ascii="Segoe UI" w:hAnsi="Segoe UI" w:cs="Segoe UI"/>
          <w:b/>
          <w:sz w:val="22"/>
          <w:szCs w:val="22"/>
        </w:rPr>
      </w:pPr>
    </w:p>
    <w:tbl>
      <w:tblPr>
        <w:tblW w:w="10456" w:type="dxa"/>
        <w:jc w:val="center"/>
        <w:tblCellMar>
          <w:left w:w="99" w:type="dxa"/>
          <w:right w:w="99" w:type="dxa"/>
        </w:tblCellMar>
        <w:tblLook w:val="04A0" w:firstRow="1" w:lastRow="0" w:firstColumn="1" w:lastColumn="0" w:noHBand="0" w:noVBand="1"/>
      </w:tblPr>
      <w:tblGrid>
        <w:gridCol w:w="1406"/>
        <w:gridCol w:w="1255"/>
        <w:gridCol w:w="672"/>
        <w:gridCol w:w="819"/>
        <w:gridCol w:w="854"/>
        <w:gridCol w:w="578"/>
        <w:gridCol w:w="752"/>
        <w:gridCol w:w="1265"/>
        <w:gridCol w:w="1339"/>
        <w:gridCol w:w="1516"/>
      </w:tblGrid>
      <w:tr w:rsidR="001D3BDC" w:rsidRPr="00114FCC" w14:paraId="65878E1B" w14:textId="77777777" w:rsidTr="00F941D7">
        <w:trPr>
          <w:trHeight w:val="1002"/>
          <w:jc w:val="center"/>
        </w:trPr>
        <w:tc>
          <w:tcPr>
            <w:tcW w:w="1406" w:type="dxa"/>
            <w:tcBorders>
              <w:bottom w:val="single" w:sz="12" w:space="0" w:color="auto"/>
            </w:tcBorders>
            <w:vAlign w:val="center"/>
            <w:hideMark/>
          </w:tcPr>
          <w:p w14:paraId="5AAF8E1F"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Reports</w:t>
            </w:r>
          </w:p>
        </w:tc>
        <w:tc>
          <w:tcPr>
            <w:tcW w:w="1255" w:type="dxa"/>
            <w:tcBorders>
              <w:bottom w:val="single" w:sz="12" w:space="0" w:color="auto"/>
            </w:tcBorders>
            <w:vAlign w:val="center"/>
            <w:hideMark/>
          </w:tcPr>
          <w:p w14:paraId="1BEC1BFF"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Scheme</w:t>
            </w:r>
          </w:p>
        </w:tc>
        <w:tc>
          <w:tcPr>
            <w:tcW w:w="672" w:type="dxa"/>
            <w:tcBorders>
              <w:bottom w:val="single" w:sz="12" w:space="0" w:color="auto"/>
            </w:tcBorders>
            <w:vAlign w:val="center"/>
            <w:hideMark/>
          </w:tcPr>
          <w:p w14:paraId="4BFACC38"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 of WDM</w:t>
            </w:r>
          </w:p>
        </w:tc>
        <w:tc>
          <w:tcPr>
            <w:tcW w:w="819" w:type="dxa"/>
            <w:tcBorders>
              <w:bottom w:val="single" w:sz="12" w:space="0" w:color="auto"/>
            </w:tcBorders>
            <w:vAlign w:val="center"/>
            <w:hideMark/>
          </w:tcPr>
          <w:p w14:paraId="6F795E3A"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Size</w:t>
            </w:r>
          </w:p>
        </w:tc>
        <w:tc>
          <w:tcPr>
            <w:tcW w:w="854" w:type="dxa"/>
            <w:tcBorders>
              <w:bottom w:val="single" w:sz="12" w:space="0" w:color="auto"/>
            </w:tcBorders>
            <w:vAlign w:val="center"/>
            <w:hideMark/>
          </w:tcPr>
          <w:p w14:paraId="1E20C7C4"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Type</w:t>
            </w:r>
          </w:p>
        </w:tc>
        <w:tc>
          <w:tcPr>
            <w:tcW w:w="578" w:type="dxa"/>
            <w:tcBorders>
              <w:bottom w:val="single" w:sz="12" w:space="0" w:color="auto"/>
            </w:tcBorders>
            <w:vAlign w:val="center"/>
            <w:hideMark/>
          </w:tcPr>
          <w:p w14:paraId="6A9C64DF"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 of</w:t>
            </w:r>
            <w:r w:rsidRPr="00114FCC">
              <w:rPr>
                <w:rFonts w:ascii="Segoe UI" w:eastAsia="游ゴシック" w:hAnsi="Segoe UI" w:cs="Segoe UI"/>
                <w:b/>
                <w:bCs/>
                <w:sz w:val="16"/>
                <w:szCs w:val="16"/>
              </w:rPr>
              <w:br/>
              <w:t>pins</w:t>
            </w:r>
          </w:p>
        </w:tc>
        <w:tc>
          <w:tcPr>
            <w:tcW w:w="752" w:type="dxa"/>
            <w:tcBorders>
              <w:bottom w:val="single" w:sz="12" w:space="0" w:color="auto"/>
            </w:tcBorders>
            <w:vAlign w:val="center"/>
            <w:hideMark/>
          </w:tcPr>
          <w:p w14:paraId="0CD6A179"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Fidelity</w:t>
            </w:r>
          </w:p>
        </w:tc>
        <w:tc>
          <w:tcPr>
            <w:tcW w:w="1265" w:type="dxa"/>
            <w:tcBorders>
              <w:bottom w:val="single" w:sz="12" w:space="0" w:color="auto"/>
            </w:tcBorders>
            <w:vAlign w:val="center"/>
            <w:hideMark/>
          </w:tcPr>
          <w:p w14:paraId="20FD45FF"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Calibration</w:t>
            </w:r>
          </w:p>
        </w:tc>
        <w:tc>
          <w:tcPr>
            <w:tcW w:w="1339" w:type="dxa"/>
            <w:tcBorders>
              <w:bottom w:val="single" w:sz="12" w:space="0" w:color="auto"/>
            </w:tcBorders>
            <w:vAlign w:val="center"/>
            <w:hideMark/>
          </w:tcPr>
          <w:p w14:paraId="2F731377" w14:textId="53E06F12"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 xml:space="preserve">Verification task (contribution ratio </w:t>
            </w:r>
            <w:r w:rsidR="00DC0AFD" w:rsidRPr="00114FCC">
              <w:rPr>
                <w:rFonts w:ascii="Segoe UI" w:eastAsia="游ゴシック" w:hAnsi="Segoe UI" w:cs="Segoe UI"/>
                <w:b/>
                <w:bCs/>
                <w:sz w:val="16"/>
                <w:szCs w:val="16"/>
              </w:rPr>
              <w:t>photo</w:t>
            </w:r>
            <w:r w:rsidRPr="00114FCC">
              <w:rPr>
                <w:rFonts w:ascii="Segoe UI" w:eastAsia="游ゴシック" w:hAnsi="Segoe UI" w:cs="Segoe UI"/>
                <w:b/>
                <w:bCs/>
                <w:sz w:val="16"/>
                <w:szCs w:val="16"/>
              </w:rPr>
              <w:t>./elec.</w:t>
            </w:r>
            <w:r w:rsidR="00A93797" w:rsidRPr="00114FCC">
              <w:rPr>
                <w:rFonts w:ascii="Segoe UI" w:eastAsia="游ゴシック" w:hAnsi="Segoe UI" w:cs="Segoe UI" w:hint="eastAsia"/>
                <w:b/>
                <w:bCs/>
                <w:sz w:val="16"/>
                <w:szCs w:val="16"/>
              </w:rPr>
              <w:t>*</w:t>
            </w:r>
            <w:r w:rsidRPr="00114FCC">
              <w:rPr>
                <w:rFonts w:ascii="Segoe UI" w:eastAsia="游ゴシック" w:hAnsi="Segoe UI" w:cs="Segoe UI"/>
                <w:b/>
                <w:bCs/>
                <w:sz w:val="16"/>
                <w:szCs w:val="16"/>
              </w:rPr>
              <w:t>)</w:t>
            </w:r>
          </w:p>
        </w:tc>
        <w:tc>
          <w:tcPr>
            <w:tcW w:w="1516" w:type="dxa"/>
            <w:tcBorders>
              <w:bottom w:val="single" w:sz="12" w:space="0" w:color="auto"/>
            </w:tcBorders>
            <w:vAlign w:val="center"/>
            <w:hideMark/>
          </w:tcPr>
          <w:p w14:paraId="6CBE8F2C" w14:textId="7777777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Others</w:t>
            </w:r>
          </w:p>
        </w:tc>
      </w:tr>
      <w:tr w:rsidR="001D3BDC" w:rsidRPr="00114FCC" w14:paraId="1E3B56D4" w14:textId="77777777" w:rsidTr="00631656">
        <w:trPr>
          <w:trHeight w:val="859"/>
          <w:jc w:val="center"/>
        </w:trPr>
        <w:tc>
          <w:tcPr>
            <w:tcW w:w="1406" w:type="dxa"/>
            <w:tcBorders>
              <w:top w:val="single" w:sz="12" w:space="0" w:color="auto"/>
            </w:tcBorders>
            <w:shd w:val="clear" w:color="auto" w:fill="FBE4D5" w:themeFill="accent2" w:themeFillTint="33"/>
            <w:vAlign w:val="center"/>
            <w:hideMark/>
          </w:tcPr>
          <w:p w14:paraId="1C639D38" w14:textId="77777777" w:rsidR="001D3BDC" w:rsidRPr="00631656" w:rsidRDefault="001D3BDC" w:rsidP="00810EBA">
            <w:pPr>
              <w:widowControl/>
              <w:spacing w:line="200" w:lineRule="exact"/>
              <w:jc w:val="center"/>
              <w:rPr>
                <w:rFonts w:ascii="Segoe UI" w:eastAsia="游ゴシック" w:hAnsi="Segoe UI" w:cs="Segoe UI"/>
                <w:b/>
                <w:bCs/>
                <w:color w:val="FF0000"/>
                <w:sz w:val="16"/>
                <w:szCs w:val="16"/>
              </w:rPr>
            </w:pPr>
            <w:r w:rsidRPr="00631656">
              <w:rPr>
                <w:rFonts w:ascii="Segoe UI" w:eastAsia="游ゴシック" w:hAnsi="Segoe UI" w:cs="Segoe UI"/>
                <w:b/>
                <w:bCs/>
                <w:color w:val="FF0000"/>
                <w:sz w:val="16"/>
                <w:szCs w:val="16"/>
              </w:rPr>
              <w:t>Our work</w:t>
            </w:r>
          </w:p>
        </w:tc>
        <w:tc>
          <w:tcPr>
            <w:tcW w:w="1255" w:type="dxa"/>
            <w:tcBorders>
              <w:top w:val="single" w:sz="12" w:space="0" w:color="auto"/>
            </w:tcBorders>
            <w:shd w:val="clear" w:color="auto" w:fill="FBE4D5" w:themeFill="accent2" w:themeFillTint="33"/>
            <w:vAlign w:val="center"/>
            <w:hideMark/>
          </w:tcPr>
          <w:p w14:paraId="3493270A"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Interference</w:t>
            </w:r>
          </w:p>
        </w:tc>
        <w:tc>
          <w:tcPr>
            <w:tcW w:w="672" w:type="dxa"/>
            <w:tcBorders>
              <w:top w:val="single" w:sz="12" w:space="0" w:color="auto"/>
            </w:tcBorders>
            <w:shd w:val="clear" w:color="auto" w:fill="FBE4D5" w:themeFill="accent2" w:themeFillTint="33"/>
            <w:vAlign w:val="center"/>
            <w:hideMark/>
          </w:tcPr>
          <w:p w14:paraId="0C4D7F3B" w14:textId="685CEC93" w:rsidR="001D3BDC" w:rsidRPr="00631656" w:rsidRDefault="00631656" w:rsidP="00810EBA">
            <w:pPr>
              <w:widowControl/>
              <w:spacing w:line="200" w:lineRule="exact"/>
              <w:jc w:val="center"/>
              <w:rPr>
                <w:rFonts w:ascii="Segoe UI" w:eastAsia="游ゴシック" w:hAnsi="Segoe UI" w:cs="Segoe UI"/>
                <w:color w:val="FF0000"/>
                <w:sz w:val="16"/>
                <w:szCs w:val="16"/>
              </w:rPr>
            </w:pPr>
            <w:r>
              <w:rPr>
                <w:rFonts w:ascii="Segoe UI" w:eastAsia="游ゴシック" w:hAnsi="Segoe UI" w:cs="Segoe UI" w:hint="eastAsia"/>
                <w:color w:val="FF0000"/>
                <w:sz w:val="16"/>
                <w:szCs w:val="16"/>
              </w:rPr>
              <w:t>86</w:t>
            </w:r>
          </w:p>
        </w:tc>
        <w:tc>
          <w:tcPr>
            <w:tcW w:w="819" w:type="dxa"/>
            <w:tcBorders>
              <w:top w:val="single" w:sz="12" w:space="0" w:color="auto"/>
            </w:tcBorders>
            <w:shd w:val="clear" w:color="auto" w:fill="FBE4D5" w:themeFill="accent2" w:themeFillTint="33"/>
            <w:vAlign w:val="center"/>
            <w:hideMark/>
          </w:tcPr>
          <w:p w14:paraId="1416B0AF"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Complex</w:t>
            </w:r>
            <w:r w:rsidRPr="00631656">
              <w:rPr>
                <w:rFonts w:ascii="Segoe UI" w:eastAsia="游ゴシック" w:hAnsi="Segoe UI" w:cs="Segoe UI"/>
                <w:color w:val="FF0000"/>
                <w:sz w:val="16"/>
                <w:szCs w:val="16"/>
              </w:rPr>
              <w:br/>
              <w:t>16 x 16</w:t>
            </w:r>
          </w:p>
        </w:tc>
        <w:tc>
          <w:tcPr>
            <w:tcW w:w="854" w:type="dxa"/>
            <w:tcBorders>
              <w:top w:val="single" w:sz="12" w:space="0" w:color="auto"/>
            </w:tcBorders>
            <w:shd w:val="clear" w:color="auto" w:fill="FBE4D5" w:themeFill="accent2" w:themeFillTint="33"/>
            <w:vAlign w:val="center"/>
            <w:hideMark/>
          </w:tcPr>
          <w:p w14:paraId="4584F088"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Clements</w:t>
            </w:r>
          </w:p>
        </w:tc>
        <w:tc>
          <w:tcPr>
            <w:tcW w:w="578" w:type="dxa"/>
            <w:tcBorders>
              <w:top w:val="single" w:sz="12" w:space="0" w:color="auto"/>
            </w:tcBorders>
            <w:shd w:val="clear" w:color="auto" w:fill="FBE4D5" w:themeFill="accent2" w:themeFillTint="33"/>
            <w:vAlign w:val="center"/>
            <w:hideMark/>
          </w:tcPr>
          <w:p w14:paraId="180C6BC6"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288</w:t>
            </w:r>
          </w:p>
        </w:tc>
        <w:tc>
          <w:tcPr>
            <w:tcW w:w="752" w:type="dxa"/>
            <w:tcBorders>
              <w:top w:val="single" w:sz="12" w:space="0" w:color="auto"/>
            </w:tcBorders>
            <w:shd w:val="clear" w:color="auto" w:fill="FBE4D5" w:themeFill="accent2" w:themeFillTint="33"/>
            <w:vAlign w:val="center"/>
            <w:hideMark/>
          </w:tcPr>
          <w:p w14:paraId="2F8F40A8"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0.913</w:t>
            </w:r>
          </w:p>
        </w:tc>
        <w:tc>
          <w:tcPr>
            <w:tcW w:w="1265" w:type="dxa"/>
            <w:tcBorders>
              <w:top w:val="single" w:sz="12" w:space="0" w:color="auto"/>
            </w:tcBorders>
            <w:shd w:val="clear" w:color="auto" w:fill="FBE4D5" w:themeFill="accent2" w:themeFillTint="33"/>
            <w:vAlign w:val="center"/>
            <w:hideMark/>
          </w:tcPr>
          <w:p w14:paraId="25B02993"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Circuit model</w:t>
            </w:r>
          </w:p>
        </w:tc>
        <w:tc>
          <w:tcPr>
            <w:tcW w:w="1339" w:type="dxa"/>
            <w:tcBorders>
              <w:top w:val="single" w:sz="12" w:space="0" w:color="auto"/>
            </w:tcBorders>
            <w:shd w:val="clear" w:color="auto" w:fill="FBE4D5" w:themeFill="accent2" w:themeFillTint="33"/>
            <w:vAlign w:val="center"/>
            <w:hideMark/>
          </w:tcPr>
          <w:p w14:paraId="7237BD3F" w14:textId="2368EB48"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MNIST 79% (256/0)</w:t>
            </w:r>
          </w:p>
        </w:tc>
        <w:tc>
          <w:tcPr>
            <w:tcW w:w="1516" w:type="dxa"/>
            <w:tcBorders>
              <w:top w:val="single" w:sz="12" w:space="0" w:color="auto"/>
            </w:tcBorders>
            <w:shd w:val="clear" w:color="auto" w:fill="FBE4D5" w:themeFill="accent2" w:themeFillTint="33"/>
            <w:vAlign w:val="center"/>
            <w:hideMark/>
          </w:tcPr>
          <w:p w14:paraId="5F6419B6" w14:textId="77777777" w:rsidR="001D3BDC" w:rsidRPr="00631656" w:rsidRDefault="001D3BDC" w:rsidP="00810EBA">
            <w:pPr>
              <w:widowControl/>
              <w:spacing w:line="200" w:lineRule="exact"/>
              <w:jc w:val="center"/>
              <w:rPr>
                <w:rFonts w:ascii="Segoe UI" w:eastAsia="游ゴシック" w:hAnsi="Segoe UI" w:cs="Segoe UI"/>
                <w:color w:val="FF0000"/>
                <w:sz w:val="16"/>
                <w:szCs w:val="16"/>
              </w:rPr>
            </w:pPr>
            <w:r w:rsidRPr="00631656">
              <w:rPr>
                <w:rFonts w:ascii="Segoe UI" w:eastAsia="游ゴシック" w:hAnsi="Segoe UI" w:cs="Segoe UI"/>
                <w:color w:val="FF0000"/>
                <w:sz w:val="16"/>
                <w:szCs w:val="16"/>
              </w:rPr>
              <w:t>Resolved crosstalk, complex encoding/real detection</w:t>
            </w:r>
          </w:p>
        </w:tc>
      </w:tr>
      <w:tr w:rsidR="001D3BDC" w:rsidRPr="00114FCC" w14:paraId="773CACFB" w14:textId="77777777" w:rsidTr="00F941D7">
        <w:trPr>
          <w:trHeight w:val="859"/>
          <w:jc w:val="center"/>
        </w:trPr>
        <w:tc>
          <w:tcPr>
            <w:tcW w:w="1406" w:type="dxa"/>
            <w:vAlign w:val="center"/>
            <w:hideMark/>
          </w:tcPr>
          <w:p w14:paraId="657EB238" w14:textId="0A61525E"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Tang et al. (2024)</w:t>
            </w:r>
            <w:sdt>
              <w:sdtPr>
                <w:rPr>
                  <w:rFonts w:ascii="Segoe UI" w:eastAsia="游ゴシック" w:hAnsi="Segoe UI" w:cs="Segoe UI"/>
                  <w:b/>
                  <w:bCs/>
                  <w:sz w:val="16"/>
                  <w:szCs w:val="16"/>
                </w:rPr>
                <w:alias w:val="SmartCite Citation"/>
                <w:tag w:val="975c6539-032a-43e3-86b0-19b9e8f3d75f:93f755c6-a264-461f-8a79-65d9c691fbdf+"/>
                <w:id w:val="963079438"/>
                <w:placeholder>
                  <w:docPart w:val="60BBF776AE9F4B218B3B4665EEAF5678"/>
                </w:placeholder>
              </w:sdtPr>
              <w:sdtEndPr/>
              <w:sdtContent>
                <w:r w:rsidR="00E855F6" w:rsidRPr="00114FCC">
                  <w:rPr>
                    <w:rFonts w:ascii="Segoe UI" w:hAnsi="Segoe UI" w:cs="Segoe UI"/>
                    <w:sz w:val="16"/>
                    <w:vertAlign w:val="superscript"/>
                  </w:rPr>
                  <w:t>12</w:t>
                </w:r>
              </w:sdtContent>
            </w:sdt>
          </w:p>
        </w:tc>
        <w:tc>
          <w:tcPr>
            <w:tcW w:w="1255" w:type="dxa"/>
            <w:vAlign w:val="center"/>
            <w:hideMark/>
          </w:tcPr>
          <w:p w14:paraId="4887F8D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2361480A"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6615608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Complex</w:t>
            </w:r>
            <w:r w:rsidRPr="00114FCC">
              <w:rPr>
                <w:rFonts w:ascii="Segoe UI" w:eastAsia="游ゴシック" w:hAnsi="Segoe UI" w:cs="Segoe UI"/>
                <w:sz w:val="16"/>
                <w:szCs w:val="16"/>
              </w:rPr>
              <w:br/>
              <w:t>10 x 10</w:t>
            </w:r>
          </w:p>
        </w:tc>
        <w:tc>
          <w:tcPr>
            <w:tcW w:w="854" w:type="dxa"/>
            <w:vAlign w:val="center"/>
            <w:hideMark/>
          </w:tcPr>
          <w:p w14:paraId="5D240988"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Clements</w:t>
            </w:r>
            <w:r w:rsidRPr="00114FCC">
              <w:rPr>
                <w:rFonts w:ascii="Segoe UI" w:eastAsia="游ゴシック" w:hAnsi="Segoe UI" w:cs="Segoe UI"/>
                <w:sz w:val="16"/>
                <w:szCs w:val="16"/>
              </w:rPr>
              <w:br/>
              <w:t>(robust)</w:t>
            </w:r>
          </w:p>
        </w:tc>
        <w:tc>
          <w:tcPr>
            <w:tcW w:w="578" w:type="dxa"/>
            <w:vAlign w:val="center"/>
            <w:hideMark/>
          </w:tcPr>
          <w:p w14:paraId="4A8E89FC"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190</w:t>
            </w:r>
          </w:p>
        </w:tc>
        <w:tc>
          <w:tcPr>
            <w:tcW w:w="752" w:type="dxa"/>
            <w:vAlign w:val="center"/>
            <w:hideMark/>
          </w:tcPr>
          <w:p w14:paraId="595071BF"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t>
            </w:r>
          </w:p>
        </w:tc>
        <w:tc>
          <w:tcPr>
            <w:tcW w:w="1265" w:type="dxa"/>
            <w:vAlign w:val="center"/>
            <w:hideMark/>
          </w:tcPr>
          <w:p w14:paraId="7E28871F"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In-situ</w:t>
            </w:r>
          </w:p>
        </w:tc>
        <w:tc>
          <w:tcPr>
            <w:tcW w:w="1339" w:type="dxa"/>
            <w:vAlign w:val="center"/>
            <w:hideMark/>
          </w:tcPr>
          <w:p w14:paraId="73D4AF3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MNIST 97% (180/8372)</w:t>
            </w:r>
          </w:p>
        </w:tc>
        <w:tc>
          <w:tcPr>
            <w:tcW w:w="1516" w:type="dxa"/>
            <w:vAlign w:val="center"/>
            <w:hideMark/>
          </w:tcPr>
          <w:p w14:paraId="4151B94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Phase encoding /real detection, robust MZI</w:t>
            </w:r>
          </w:p>
        </w:tc>
      </w:tr>
      <w:tr w:rsidR="001D3BDC" w:rsidRPr="00114FCC" w14:paraId="761C4FD3" w14:textId="77777777" w:rsidTr="00F941D7">
        <w:trPr>
          <w:trHeight w:val="859"/>
          <w:jc w:val="center"/>
        </w:trPr>
        <w:tc>
          <w:tcPr>
            <w:tcW w:w="1406" w:type="dxa"/>
            <w:vAlign w:val="center"/>
            <w:hideMark/>
          </w:tcPr>
          <w:p w14:paraId="6DC50620" w14:textId="15AE0FB7"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Bandyopadhyay et al. (2024)</w:t>
            </w:r>
            <w:sdt>
              <w:sdtPr>
                <w:rPr>
                  <w:rFonts w:ascii="Segoe UI" w:eastAsia="游ゴシック" w:hAnsi="Segoe UI" w:cs="Segoe UI"/>
                  <w:b/>
                  <w:bCs/>
                  <w:sz w:val="16"/>
                  <w:szCs w:val="16"/>
                </w:rPr>
                <w:alias w:val="SmartCite Citation"/>
                <w:tag w:val="975c6539-032a-43e3-86b0-19b9e8f3d75f:7752f8bb-8eb4-4e8b-8f84-e72a72d71723+"/>
                <w:id w:val="-208107743"/>
                <w:placeholder>
                  <w:docPart w:val="60BBF776AE9F4B218B3B4665EEAF5678"/>
                </w:placeholder>
              </w:sdtPr>
              <w:sdtEndPr/>
              <w:sdtContent>
                <w:r w:rsidR="00E855F6" w:rsidRPr="00114FCC">
                  <w:rPr>
                    <w:rFonts w:ascii="Segoe UI" w:hAnsi="Segoe UI" w:cs="Segoe UI"/>
                    <w:sz w:val="16"/>
                    <w:vertAlign w:val="superscript"/>
                  </w:rPr>
                  <w:t>13</w:t>
                </w:r>
              </w:sdtContent>
            </w:sdt>
          </w:p>
        </w:tc>
        <w:tc>
          <w:tcPr>
            <w:tcW w:w="1255" w:type="dxa"/>
            <w:vAlign w:val="center"/>
            <w:hideMark/>
          </w:tcPr>
          <w:p w14:paraId="3A88FE06"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34860485"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14684214"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Complex</w:t>
            </w:r>
            <w:r w:rsidRPr="00114FCC">
              <w:rPr>
                <w:rFonts w:ascii="Segoe UI" w:eastAsia="游ゴシック" w:hAnsi="Segoe UI" w:cs="Segoe UI"/>
                <w:sz w:val="16"/>
                <w:szCs w:val="16"/>
              </w:rPr>
              <w:br/>
              <w:t>6 x 6 x 3</w:t>
            </w:r>
          </w:p>
        </w:tc>
        <w:tc>
          <w:tcPr>
            <w:tcW w:w="854" w:type="dxa"/>
            <w:vAlign w:val="center"/>
            <w:hideMark/>
          </w:tcPr>
          <w:p w14:paraId="7EBBB1FC"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Clements</w:t>
            </w:r>
          </w:p>
        </w:tc>
        <w:tc>
          <w:tcPr>
            <w:tcW w:w="578" w:type="dxa"/>
            <w:vAlign w:val="center"/>
            <w:hideMark/>
          </w:tcPr>
          <w:p w14:paraId="01A7FDA6"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114</w:t>
            </w:r>
          </w:p>
        </w:tc>
        <w:tc>
          <w:tcPr>
            <w:tcW w:w="752" w:type="dxa"/>
            <w:vAlign w:val="center"/>
            <w:hideMark/>
          </w:tcPr>
          <w:p w14:paraId="24BA6867"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0.989</w:t>
            </w:r>
          </w:p>
        </w:tc>
        <w:tc>
          <w:tcPr>
            <w:tcW w:w="1265" w:type="dxa"/>
            <w:vAlign w:val="center"/>
            <w:hideMark/>
          </w:tcPr>
          <w:p w14:paraId="3EA945C2" w14:textId="77777777" w:rsidR="00B41BB6"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Circuit model</w:t>
            </w:r>
          </w:p>
          <w:p w14:paraId="1E43F982" w14:textId="3DA6AF8B"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or In-situ</w:t>
            </w:r>
          </w:p>
        </w:tc>
        <w:tc>
          <w:tcPr>
            <w:tcW w:w="1339" w:type="dxa"/>
            <w:vAlign w:val="center"/>
            <w:hideMark/>
          </w:tcPr>
          <w:p w14:paraId="30C7B726" w14:textId="48AA271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6 vowel classes 92.5% (114/0)</w:t>
            </w:r>
          </w:p>
        </w:tc>
        <w:tc>
          <w:tcPr>
            <w:tcW w:w="1516" w:type="dxa"/>
            <w:vAlign w:val="center"/>
            <w:hideMark/>
          </w:tcPr>
          <w:p w14:paraId="78C9F08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3-layer NN with OEOs, coherent detection</w:t>
            </w:r>
          </w:p>
        </w:tc>
      </w:tr>
      <w:tr w:rsidR="001D3BDC" w:rsidRPr="00114FCC" w14:paraId="14B443E0" w14:textId="77777777" w:rsidTr="00F941D7">
        <w:trPr>
          <w:trHeight w:val="859"/>
          <w:jc w:val="center"/>
        </w:trPr>
        <w:tc>
          <w:tcPr>
            <w:tcW w:w="1406" w:type="dxa"/>
            <w:vAlign w:val="center"/>
            <w:hideMark/>
          </w:tcPr>
          <w:p w14:paraId="372F5AD9" w14:textId="254C8573"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Zhang et al.</w:t>
            </w:r>
            <w:r w:rsidRPr="00114FCC">
              <w:rPr>
                <w:rFonts w:ascii="Segoe UI" w:eastAsia="游ゴシック" w:hAnsi="Segoe UI" w:cs="Segoe UI"/>
                <w:b/>
                <w:bCs/>
                <w:sz w:val="16"/>
                <w:szCs w:val="16"/>
              </w:rPr>
              <w:br/>
              <w:t>(2022)</w:t>
            </w:r>
            <w:sdt>
              <w:sdtPr>
                <w:rPr>
                  <w:rFonts w:ascii="Segoe UI" w:eastAsia="游ゴシック" w:hAnsi="Segoe UI" w:cs="Segoe UI"/>
                  <w:b/>
                  <w:bCs/>
                  <w:sz w:val="16"/>
                  <w:szCs w:val="16"/>
                </w:rPr>
                <w:alias w:val="SmartCite Citation"/>
                <w:tag w:val="975c6539-032a-43e3-86b0-19b9e8f3d75f:b899af65-6b73-454a-ad94-4212c79a857b+"/>
                <w:id w:val="2009635813"/>
                <w:placeholder>
                  <w:docPart w:val="60BBF776AE9F4B218B3B4665EEAF5678"/>
                </w:placeholder>
              </w:sdtPr>
              <w:sdtEndPr/>
              <w:sdtContent>
                <w:r w:rsidR="00E855F6" w:rsidRPr="00114FCC">
                  <w:rPr>
                    <w:rFonts w:ascii="Segoe UI" w:hAnsi="Segoe UI" w:cs="Segoe UI"/>
                    <w:sz w:val="16"/>
                    <w:vertAlign w:val="superscript"/>
                  </w:rPr>
                  <w:t>14</w:t>
                </w:r>
              </w:sdtContent>
            </w:sdt>
          </w:p>
        </w:tc>
        <w:tc>
          <w:tcPr>
            <w:tcW w:w="1255" w:type="dxa"/>
            <w:vAlign w:val="center"/>
            <w:hideMark/>
          </w:tcPr>
          <w:p w14:paraId="2EBD00CA"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23D40393"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1799EF1A"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Complex</w:t>
            </w:r>
            <w:r w:rsidRPr="00114FCC">
              <w:rPr>
                <w:rFonts w:ascii="Segoe UI" w:eastAsia="游ゴシック" w:hAnsi="Segoe UI" w:cs="Segoe UI"/>
                <w:sz w:val="16"/>
                <w:szCs w:val="16"/>
              </w:rPr>
              <w:br/>
              <w:t>8 x 8 (6x6?)</w:t>
            </w:r>
          </w:p>
        </w:tc>
        <w:tc>
          <w:tcPr>
            <w:tcW w:w="854" w:type="dxa"/>
            <w:vAlign w:val="center"/>
            <w:hideMark/>
          </w:tcPr>
          <w:p w14:paraId="077683FA"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Reck</w:t>
            </w:r>
          </w:p>
        </w:tc>
        <w:tc>
          <w:tcPr>
            <w:tcW w:w="578" w:type="dxa"/>
            <w:vAlign w:val="center"/>
            <w:hideMark/>
          </w:tcPr>
          <w:p w14:paraId="68B1C4E4"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72</w:t>
            </w:r>
          </w:p>
        </w:tc>
        <w:tc>
          <w:tcPr>
            <w:tcW w:w="752" w:type="dxa"/>
            <w:vAlign w:val="center"/>
            <w:hideMark/>
          </w:tcPr>
          <w:p w14:paraId="06DB4C14"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265" w:type="dxa"/>
            <w:vAlign w:val="center"/>
            <w:hideMark/>
          </w:tcPr>
          <w:p w14:paraId="2602484D"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In-situ</w:t>
            </w:r>
          </w:p>
        </w:tc>
        <w:tc>
          <w:tcPr>
            <w:tcW w:w="1339" w:type="dxa"/>
            <w:vAlign w:val="center"/>
            <w:hideMark/>
          </w:tcPr>
          <w:p w14:paraId="409C6BD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MNIST 90.5% (64/3176)</w:t>
            </w:r>
          </w:p>
        </w:tc>
        <w:tc>
          <w:tcPr>
            <w:tcW w:w="1516" w:type="dxa"/>
            <w:vAlign w:val="center"/>
            <w:hideMark/>
          </w:tcPr>
          <w:p w14:paraId="4BE11375"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complex encoding/complex detection</w:t>
            </w:r>
          </w:p>
        </w:tc>
      </w:tr>
      <w:tr w:rsidR="001D3BDC" w:rsidRPr="00114FCC" w14:paraId="2E6704E9" w14:textId="77777777" w:rsidTr="00F941D7">
        <w:trPr>
          <w:trHeight w:val="859"/>
          <w:jc w:val="center"/>
        </w:trPr>
        <w:tc>
          <w:tcPr>
            <w:tcW w:w="1406" w:type="dxa"/>
            <w:vAlign w:val="center"/>
            <w:hideMark/>
          </w:tcPr>
          <w:p w14:paraId="629CB014" w14:textId="42ABEE53"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Yu et al.</w:t>
            </w:r>
            <w:r w:rsidRPr="00114FCC">
              <w:rPr>
                <w:rFonts w:ascii="Segoe UI" w:eastAsia="游ゴシック" w:hAnsi="Segoe UI" w:cs="Segoe UI"/>
                <w:b/>
                <w:bCs/>
                <w:sz w:val="16"/>
                <w:szCs w:val="16"/>
              </w:rPr>
              <w:br/>
              <w:t>(2025)</w:t>
            </w:r>
            <w:sdt>
              <w:sdtPr>
                <w:rPr>
                  <w:rFonts w:ascii="Segoe UI" w:eastAsia="游ゴシック" w:hAnsi="Segoe UI" w:cs="Segoe UI"/>
                  <w:b/>
                  <w:bCs/>
                  <w:sz w:val="16"/>
                  <w:szCs w:val="16"/>
                </w:rPr>
                <w:alias w:val="SmartCite Citation"/>
                <w:tag w:val="975c6539-032a-43e3-86b0-19b9e8f3d75f:dd851838-85eb-49ca-8fbb-b7c88f668399+"/>
                <w:id w:val="1540854476"/>
                <w:placeholder>
                  <w:docPart w:val="60BBF776AE9F4B218B3B4665EEAF5678"/>
                </w:placeholder>
              </w:sdtPr>
              <w:sdtEndPr/>
              <w:sdtContent>
                <w:r w:rsidR="00E855F6" w:rsidRPr="00114FCC">
                  <w:rPr>
                    <w:rFonts w:ascii="Segoe UI" w:hAnsi="Segoe UI" w:cs="Segoe UI"/>
                    <w:sz w:val="16"/>
                    <w:vertAlign w:val="superscript"/>
                  </w:rPr>
                  <w:t>11</w:t>
                </w:r>
              </w:sdtContent>
            </w:sdt>
          </w:p>
        </w:tc>
        <w:tc>
          <w:tcPr>
            <w:tcW w:w="1255" w:type="dxa"/>
            <w:vAlign w:val="center"/>
            <w:hideMark/>
          </w:tcPr>
          <w:p w14:paraId="301BE8F3"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39C48B85"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20</w:t>
            </w:r>
          </w:p>
        </w:tc>
        <w:tc>
          <w:tcPr>
            <w:tcW w:w="819" w:type="dxa"/>
            <w:vAlign w:val="center"/>
            <w:hideMark/>
          </w:tcPr>
          <w:p w14:paraId="44292D9B"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Real</w:t>
            </w:r>
            <w:r w:rsidRPr="00114FCC">
              <w:rPr>
                <w:rFonts w:ascii="Segoe UI" w:eastAsia="游ゴシック" w:hAnsi="Segoe UI" w:cs="Segoe UI"/>
                <w:sz w:val="16"/>
                <w:szCs w:val="16"/>
              </w:rPr>
              <w:br/>
              <w:t>5 x 5</w:t>
            </w:r>
          </w:p>
        </w:tc>
        <w:tc>
          <w:tcPr>
            <w:tcW w:w="854" w:type="dxa"/>
            <w:vAlign w:val="center"/>
            <w:hideMark/>
          </w:tcPr>
          <w:p w14:paraId="7AC7674D"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Reck</w:t>
            </w:r>
          </w:p>
        </w:tc>
        <w:tc>
          <w:tcPr>
            <w:tcW w:w="578" w:type="dxa"/>
            <w:vAlign w:val="center"/>
            <w:hideMark/>
          </w:tcPr>
          <w:p w14:paraId="4ED2E69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25</w:t>
            </w:r>
          </w:p>
        </w:tc>
        <w:tc>
          <w:tcPr>
            <w:tcW w:w="752" w:type="dxa"/>
            <w:vAlign w:val="center"/>
            <w:hideMark/>
          </w:tcPr>
          <w:p w14:paraId="0BE40A3E"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0.907</w:t>
            </w:r>
          </w:p>
        </w:tc>
        <w:tc>
          <w:tcPr>
            <w:tcW w:w="1265" w:type="dxa"/>
            <w:vAlign w:val="center"/>
            <w:hideMark/>
          </w:tcPr>
          <w:p w14:paraId="7CB456BA" w14:textId="77777777" w:rsidR="00B41BB6"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Deterministic</w:t>
            </w:r>
          </w:p>
          <w:p w14:paraId="46699D87" w14:textId="4D9588F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and loop compensation</w:t>
            </w:r>
          </w:p>
        </w:tc>
        <w:tc>
          <w:tcPr>
            <w:tcW w:w="1339" w:type="dxa"/>
            <w:vAlign w:val="center"/>
            <w:hideMark/>
          </w:tcPr>
          <w:p w14:paraId="5CCD15F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516" w:type="dxa"/>
            <w:vAlign w:val="center"/>
            <w:hideMark/>
          </w:tcPr>
          <w:p w14:paraId="42CF867B"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Micro-comb, DAC/ADC, no NN demonstration</w:t>
            </w:r>
          </w:p>
        </w:tc>
      </w:tr>
      <w:tr w:rsidR="001D3BDC" w:rsidRPr="00114FCC" w14:paraId="4ADF6D86" w14:textId="77777777" w:rsidTr="00F941D7">
        <w:trPr>
          <w:trHeight w:val="859"/>
          <w:jc w:val="center"/>
        </w:trPr>
        <w:tc>
          <w:tcPr>
            <w:tcW w:w="1406" w:type="dxa"/>
            <w:vAlign w:val="center"/>
            <w:hideMark/>
          </w:tcPr>
          <w:p w14:paraId="41342B85" w14:textId="73A30146"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Tang et al. (2021)</w:t>
            </w:r>
            <w:sdt>
              <w:sdtPr>
                <w:rPr>
                  <w:rFonts w:ascii="Segoe UI" w:eastAsia="游ゴシック" w:hAnsi="Segoe UI" w:cs="Segoe UI"/>
                  <w:b/>
                  <w:bCs/>
                  <w:sz w:val="16"/>
                  <w:szCs w:val="16"/>
                </w:rPr>
                <w:alias w:val="SmartCite Citation"/>
                <w:tag w:val="975c6539-032a-43e3-86b0-19b9e8f3d75f:1203fd70-4c73-42c0-a6f5-4d69507f152d+"/>
                <w:id w:val="-1894650375"/>
                <w:placeholder>
                  <w:docPart w:val="60BBF776AE9F4B218B3B4665EEAF5678"/>
                </w:placeholder>
              </w:sdtPr>
              <w:sdtEndPr/>
              <w:sdtContent>
                <w:r w:rsidR="00E855F6" w:rsidRPr="00114FCC">
                  <w:rPr>
                    <w:rFonts w:ascii="Segoe UI" w:hAnsi="Segoe UI" w:cs="Segoe UI"/>
                    <w:sz w:val="16"/>
                    <w:vertAlign w:val="superscript"/>
                  </w:rPr>
                  <w:t>15</w:t>
                </w:r>
              </w:sdtContent>
            </w:sdt>
          </w:p>
        </w:tc>
        <w:tc>
          <w:tcPr>
            <w:tcW w:w="1255" w:type="dxa"/>
            <w:vAlign w:val="center"/>
            <w:hideMark/>
          </w:tcPr>
          <w:p w14:paraId="09767519"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2076E327"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0BF502F2"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Phase</w:t>
            </w:r>
            <w:r w:rsidRPr="00114FCC">
              <w:rPr>
                <w:rFonts w:ascii="Segoe UI" w:eastAsia="游ゴシック" w:hAnsi="Segoe UI" w:cs="Segoe UI"/>
                <w:sz w:val="16"/>
                <w:szCs w:val="16"/>
              </w:rPr>
              <w:br/>
              <w:t>10 x 10</w:t>
            </w:r>
          </w:p>
        </w:tc>
        <w:tc>
          <w:tcPr>
            <w:tcW w:w="854" w:type="dxa"/>
            <w:vAlign w:val="center"/>
            <w:hideMark/>
          </w:tcPr>
          <w:p w14:paraId="517EC518"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MDC</w:t>
            </w:r>
          </w:p>
        </w:tc>
        <w:tc>
          <w:tcPr>
            <w:tcW w:w="578" w:type="dxa"/>
            <w:vAlign w:val="center"/>
            <w:hideMark/>
          </w:tcPr>
          <w:p w14:paraId="075C18FE"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140</w:t>
            </w:r>
          </w:p>
        </w:tc>
        <w:tc>
          <w:tcPr>
            <w:tcW w:w="752" w:type="dxa"/>
            <w:vAlign w:val="center"/>
            <w:hideMark/>
          </w:tcPr>
          <w:p w14:paraId="733771A2"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265" w:type="dxa"/>
            <w:vAlign w:val="center"/>
            <w:hideMark/>
          </w:tcPr>
          <w:p w14:paraId="310F37E2"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In-situ</w:t>
            </w:r>
          </w:p>
        </w:tc>
        <w:tc>
          <w:tcPr>
            <w:tcW w:w="1339" w:type="dxa"/>
            <w:vAlign w:val="center"/>
            <w:hideMark/>
          </w:tcPr>
          <w:p w14:paraId="2FDF9F76"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516" w:type="dxa"/>
            <w:vAlign w:val="center"/>
            <w:hideMark/>
          </w:tcPr>
          <w:p w14:paraId="30F53AD9"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Multiple directional coupler</w:t>
            </w:r>
          </w:p>
        </w:tc>
      </w:tr>
      <w:tr w:rsidR="001D3BDC" w:rsidRPr="00114FCC" w14:paraId="2EFF7EE3" w14:textId="77777777" w:rsidTr="00F941D7">
        <w:trPr>
          <w:trHeight w:val="859"/>
          <w:jc w:val="center"/>
        </w:trPr>
        <w:tc>
          <w:tcPr>
            <w:tcW w:w="1406" w:type="dxa"/>
            <w:vAlign w:val="center"/>
            <w:hideMark/>
          </w:tcPr>
          <w:p w14:paraId="78798D96" w14:textId="6719D8D6"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Shen et al. (2017)</w:t>
            </w:r>
            <w:sdt>
              <w:sdtPr>
                <w:rPr>
                  <w:rFonts w:ascii="Segoe UI" w:eastAsia="游ゴシック" w:hAnsi="Segoe UI" w:cs="Segoe UI"/>
                  <w:b/>
                  <w:bCs/>
                  <w:sz w:val="16"/>
                  <w:szCs w:val="16"/>
                </w:rPr>
                <w:alias w:val="SmartCite Citation"/>
                <w:tag w:val="975c6539-032a-43e3-86b0-19b9e8f3d75f:6a75e846-f0bc-48a7-b7c7-3d95b53694e8+"/>
                <w:id w:val="678085520"/>
                <w:placeholder>
                  <w:docPart w:val="60BBF776AE9F4B218B3B4665EEAF5678"/>
                </w:placeholder>
              </w:sdtPr>
              <w:sdtEndPr/>
              <w:sdtContent>
                <w:r w:rsidR="00E855F6" w:rsidRPr="00114FCC">
                  <w:rPr>
                    <w:rFonts w:ascii="Segoe UI" w:hAnsi="Segoe UI" w:cs="Segoe UI"/>
                    <w:sz w:val="16"/>
                    <w:vertAlign w:val="superscript"/>
                  </w:rPr>
                  <w:t>16</w:t>
                </w:r>
              </w:sdtContent>
            </w:sdt>
          </w:p>
        </w:tc>
        <w:tc>
          <w:tcPr>
            <w:tcW w:w="1255" w:type="dxa"/>
            <w:vAlign w:val="center"/>
            <w:hideMark/>
          </w:tcPr>
          <w:p w14:paraId="6A39A083"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Interference</w:t>
            </w:r>
          </w:p>
        </w:tc>
        <w:tc>
          <w:tcPr>
            <w:tcW w:w="672" w:type="dxa"/>
            <w:vAlign w:val="center"/>
            <w:hideMark/>
          </w:tcPr>
          <w:p w14:paraId="3FCFA685"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1C34097F"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4 x 4</w:t>
            </w:r>
          </w:p>
        </w:tc>
        <w:tc>
          <w:tcPr>
            <w:tcW w:w="854" w:type="dxa"/>
            <w:vAlign w:val="center"/>
            <w:hideMark/>
          </w:tcPr>
          <w:p w14:paraId="135D041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Reck</w:t>
            </w:r>
          </w:p>
        </w:tc>
        <w:tc>
          <w:tcPr>
            <w:tcW w:w="578" w:type="dxa"/>
            <w:vAlign w:val="center"/>
            <w:hideMark/>
          </w:tcPr>
          <w:p w14:paraId="727192C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16</w:t>
            </w:r>
          </w:p>
        </w:tc>
        <w:tc>
          <w:tcPr>
            <w:tcW w:w="752" w:type="dxa"/>
            <w:vAlign w:val="center"/>
            <w:hideMark/>
          </w:tcPr>
          <w:p w14:paraId="0A17F81E"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265" w:type="dxa"/>
            <w:vAlign w:val="center"/>
            <w:hideMark/>
          </w:tcPr>
          <w:p w14:paraId="5496501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Deterministic</w:t>
            </w:r>
          </w:p>
        </w:tc>
        <w:tc>
          <w:tcPr>
            <w:tcW w:w="1339" w:type="dxa"/>
            <w:vAlign w:val="center"/>
            <w:hideMark/>
          </w:tcPr>
          <w:p w14:paraId="258A8CB8"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4 vowel class</w:t>
            </w:r>
          </w:p>
        </w:tc>
        <w:tc>
          <w:tcPr>
            <w:tcW w:w="1516" w:type="dxa"/>
            <w:vAlign w:val="center"/>
            <w:hideMark/>
          </w:tcPr>
          <w:p w14:paraId="4F4541F0" w14:textId="2673A320" w:rsidR="001D3BDC" w:rsidRPr="00114FCC" w:rsidRDefault="00F941D7"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hint="eastAsia"/>
                <w:sz w:val="16"/>
                <w:szCs w:val="16"/>
              </w:rPr>
              <w:t>F</w:t>
            </w:r>
            <w:r w:rsidR="001D3BDC" w:rsidRPr="00114FCC">
              <w:rPr>
                <w:rFonts w:ascii="Segoe UI" w:eastAsia="游ゴシック" w:hAnsi="Segoe UI" w:cs="Segoe UI"/>
                <w:sz w:val="16"/>
                <w:szCs w:val="16"/>
              </w:rPr>
              <w:t xml:space="preserve">irst </w:t>
            </w:r>
            <w:r w:rsidRPr="00114FCC">
              <w:rPr>
                <w:rFonts w:ascii="Segoe UI" w:eastAsia="游ゴシック" w:hAnsi="Segoe UI" w:cs="Segoe UI" w:hint="eastAsia"/>
                <w:sz w:val="16"/>
                <w:szCs w:val="16"/>
              </w:rPr>
              <w:t>paper demonstrating NN task with a PIVMM</w:t>
            </w:r>
          </w:p>
        </w:tc>
      </w:tr>
      <w:tr w:rsidR="001D3BDC" w:rsidRPr="00114FCC" w14:paraId="7D5A34AB" w14:textId="77777777" w:rsidTr="00F941D7">
        <w:trPr>
          <w:trHeight w:val="859"/>
          <w:jc w:val="center"/>
        </w:trPr>
        <w:tc>
          <w:tcPr>
            <w:tcW w:w="1406" w:type="dxa"/>
            <w:vAlign w:val="center"/>
            <w:hideMark/>
          </w:tcPr>
          <w:p w14:paraId="1AB3971E" w14:textId="31B95B66"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Feldmann et al. (2020)</w:t>
            </w:r>
            <w:sdt>
              <w:sdtPr>
                <w:rPr>
                  <w:rFonts w:ascii="Segoe UI" w:eastAsia="游ゴシック" w:hAnsi="Segoe UI" w:cs="Segoe UI"/>
                  <w:b/>
                  <w:bCs/>
                  <w:sz w:val="16"/>
                  <w:szCs w:val="16"/>
                </w:rPr>
                <w:alias w:val="SmartCite Citation"/>
                <w:tag w:val="975c6539-032a-43e3-86b0-19b9e8f3d75f:4b64f97d-5f6e-466a-a38d-662b523d49aa+"/>
                <w:id w:val="-930817223"/>
                <w:placeholder>
                  <w:docPart w:val="60BBF776AE9F4B218B3B4665EEAF5678"/>
                </w:placeholder>
              </w:sdtPr>
              <w:sdtEndPr/>
              <w:sdtContent>
                <w:r w:rsidR="00E855F6" w:rsidRPr="00114FCC">
                  <w:rPr>
                    <w:rFonts w:ascii="Segoe UI" w:hAnsi="Segoe UI" w:cs="Segoe UI"/>
                    <w:sz w:val="16"/>
                    <w:vertAlign w:val="superscript"/>
                  </w:rPr>
                  <w:t>8</w:t>
                </w:r>
              </w:sdtContent>
            </w:sdt>
          </w:p>
        </w:tc>
        <w:tc>
          <w:tcPr>
            <w:tcW w:w="1255" w:type="dxa"/>
            <w:vAlign w:val="center"/>
            <w:hideMark/>
          </w:tcPr>
          <w:p w14:paraId="76B92CC4"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WDM-crossbar</w:t>
            </w:r>
          </w:p>
        </w:tc>
        <w:tc>
          <w:tcPr>
            <w:tcW w:w="672" w:type="dxa"/>
            <w:vAlign w:val="center"/>
            <w:hideMark/>
          </w:tcPr>
          <w:p w14:paraId="38F7575C"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9</w:t>
            </w:r>
          </w:p>
        </w:tc>
        <w:tc>
          <w:tcPr>
            <w:tcW w:w="819" w:type="dxa"/>
            <w:vAlign w:val="center"/>
            <w:hideMark/>
          </w:tcPr>
          <w:p w14:paraId="03DF3D84"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Real</w:t>
            </w:r>
            <w:r w:rsidRPr="00114FCC">
              <w:rPr>
                <w:rFonts w:ascii="Segoe UI" w:eastAsia="游ゴシック" w:hAnsi="Segoe UI" w:cs="Segoe UI"/>
                <w:sz w:val="16"/>
                <w:szCs w:val="16"/>
              </w:rPr>
              <w:br/>
              <w:t>9 x 4</w:t>
            </w:r>
          </w:p>
        </w:tc>
        <w:tc>
          <w:tcPr>
            <w:tcW w:w="854" w:type="dxa"/>
            <w:vAlign w:val="center"/>
            <w:hideMark/>
          </w:tcPr>
          <w:p w14:paraId="2647A34F"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Crossbar</w:t>
            </w:r>
          </w:p>
        </w:tc>
        <w:tc>
          <w:tcPr>
            <w:tcW w:w="578" w:type="dxa"/>
            <w:vAlign w:val="center"/>
            <w:hideMark/>
          </w:tcPr>
          <w:p w14:paraId="2550C393"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752" w:type="dxa"/>
            <w:vAlign w:val="center"/>
            <w:hideMark/>
          </w:tcPr>
          <w:p w14:paraId="266BA8E2"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265" w:type="dxa"/>
            <w:vAlign w:val="center"/>
            <w:hideMark/>
          </w:tcPr>
          <w:p w14:paraId="0B3AAEB6"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In-situ</w:t>
            </w:r>
          </w:p>
        </w:tc>
        <w:tc>
          <w:tcPr>
            <w:tcW w:w="1339" w:type="dxa"/>
            <w:vAlign w:val="center"/>
            <w:hideMark/>
          </w:tcPr>
          <w:p w14:paraId="654D2FF7"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Image processing (CNN)</w:t>
            </w:r>
          </w:p>
        </w:tc>
        <w:tc>
          <w:tcPr>
            <w:tcW w:w="1516" w:type="dxa"/>
            <w:vAlign w:val="center"/>
            <w:hideMark/>
          </w:tcPr>
          <w:p w14:paraId="5D360B3E"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WDM</w:t>
            </w:r>
            <w:r w:rsidRPr="00114FCC">
              <w:rPr>
                <w:rFonts w:ascii="Segoe UI" w:eastAsia="ＭＳ Ｐゴシック" w:hAnsi="Segoe UI" w:cs="Segoe UI"/>
                <w:sz w:val="16"/>
                <w:szCs w:val="16"/>
              </w:rPr>
              <w:t>＋</w:t>
            </w:r>
            <w:r w:rsidRPr="00114FCC">
              <w:rPr>
                <w:rFonts w:ascii="Segoe UI" w:eastAsia="游ゴシック" w:hAnsi="Segoe UI" w:cs="Segoe UI"/>
                <w:sz w:val="16"/>
                <w:szCs w:val="16"/>
              </w:rPr>
              <w:t>Phase change materials</w:t>
            </w:r>
          </w:p>
        </w:tc>
      </w:tr>
      <w:tr w:rsidR="001D3BDC" w:rsidRPr="00114FCC" w14:paraId="22A8A5E2" w14:textId="77777777" w:rsidTr="00F941D7">
        <w:trPr>
          <w:trHeight w:val="859"/>
          <w:jc w:val="center"/>
        </w:trPr>
        <w:tc>
          <w:tcPr>
            <w:tcW w:w="1406" w:type="dxa"/>
            <w:vAlign w:val="center"/>
            <w:hideMark/>
          </w:tcPr>
          <w:p w14:paraId="08A37A96" w14:textId="1F53B749"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Hua et al. (2025)</w:t>
            </w:r>
            <w:sdt>
              <w:sdtPr>
                <w:rPr>
                  <w:rFonts w:ascii="Segoe UI" w:eastAsia="游ゴシック" w:hAnsi="Segoe UI" w:cs="Segoe UI"/>
                  <w:b/>
                  <w:bCs/>
                  <w:sz w:val="16"/>
                  <w:szCs w:val="16"/>
                </w:rPr>
                <w:alias w:val="SmartCite Citation"/>
                <w:tag w:val="975c6539-032a-43e3-86b0-19b9e8f3d75f:7c0c3047-3fa2-4d3d-942f-f1921b6793b7+"/>
                <w:id w:val="-680281024"/>
                <w:placeholder>
                  <w:docPart w:val="60BBF776AE9F4B218B3B4665EEAF5678"/>
                </w:placeholder>
              </w:sdtPr>
              <w:sdtEndPr/>
              <w:sdtContent>
                <w:r w:rsidR="00E855F6" w:rsidRPr="00114FCC">
                  <w:rPr>
                    <w:rFonts w:ascii="Segoe UI" w:hAnsi="Segoe UI" w:cs="Segoe UI"/>
                    <w:sz w:val="16"/>
                    <w:vertAlign w:val="superscript"/>
                  </w:rPr>
                  <w:t>17</w:t>
                </w:r>
              </w:sdtContent>
            </w:sdt>
          </w:p>
        </w:tc>
        <w:tc>
          <w:tcPr>
            <w:tcW w:w="1255" w:type="dxa"/>
            <w:vAlign w:val="center"/>
            <w:hideMark/>
          </w:tcPr>
          <w:p w14:paraId="02A286B7"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PD-crossbar</w:t>
            </w:r>
          </w:p>
        </w:tc>
        <w:tc>
          <w:tcPr>
            <w:tcW w:w="672" w:type="dxa"/>
            <w:vAlign w:val="center"/>
            <w:hideMark/>
          </w:tcPr>
          <w:p w14:paraId="3016D32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1</w:t>
            </w:r>
          </w:p>
        </w:tc>
        <w:tc>
          <w:tcPr>
            <w:tcW w:w="819" w:type="dxa"/>
            <w:vAlign w:val="center"/>
            <w:hideMark/>
          </w:tcPr>
          <w:p w14:paraId="76AE58C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Real</w:t>
            </w:r>
            <w:r w:rsidRPr="00114FCC">
              <w:rPr>
                <w:rFonts w:ascii="Segoe UI" w:eastAsia="游ゴシック" w:hAnsi="Segoe UI" w:cs="Segoe UI"/>
                <w:sz w:val="16"/>
                <w:szCs w:val="16"/>
              </w:rPr>
              <w:br/>
              <w:t>64 x 64</w:t>
            </w:r>
          </w:p>
        </w:tc>
        <w:tc>
          <w:tcPr>
            <w:tcW w:w="854" w:type="dxa"/>
            <w:vAlign w:val="center"/>
            <w:hideMark/>
          </w:tcPr>
          <w:p w14:paraId="198FC4B3" w14:textId="3FCA9E41"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photo-current crossbar</w:t>
            </w:r>
          </w:p>
        </w:tc>
        <w:tc>
          <w:tcPr>
            <w:tcW w:w="578" w:type="dxa"/>
            <w:vAlign w:val="center"/>
            <w:hideMark/>
          </w:tcPr>
          <w:p w14:paraId="3B79BFC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8,192</w:t>
            </w:r>
          </w:p>
        </w:tc>
        <w:tc>
          <w:tcPr>
            <w:tcW w:w="752" w:type="dxa"/>
            <w:vAlign w:val="center"/>
            <w:hideMark/>
          </w:tcPr>
          <w:p w14:paraId="48BDEF7B"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N/A</w:t>
            </w:r>
          </w:p>
        </w:tc>
        <w:tc>
          <w:tcPr>
            <w:tcW w:w="1265" w:type="dxa"/>
            <w:vAlign w:val="center"/>
            <w:hideMark/>
          </w:tcPr>
          <w:p w14:paraId="65B69289" w14:textId="77777777" w:rsidR="00B41BB6"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Deterministic</w:t>
            </w:r>
          </w:p>
          <w:p w14:paraId="39992D82" w14:textId="7A45E030"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and in-situ</w:t>
            </w:r>
          </w:p>
        </w:tc>
        <w:tc>
          <w:tcPr>
            <w:tcW w:w="1339" w:type="dxa"/>
            <w:vAlign w:val="center"/>
            <w:hideMark/>
          </w:tcPr>
          <w:p w14:paraId="44739650"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Ising/Max-cut</w:t>
            </w:r>
          </w:p>
        </w:tc>
        <w:tc>
          <w:tcPr>
            <w:tcW w:w="1516" w:type="dxa"/>
            <w:vAlign w:val="center"/>
            <w:hideMark/>
          </w:tcPr>
          <w:p w14:paraId="215A5CD9"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Full integration</w:t>
            </w:r>
          </w:p>
        </w:tc>
      </w:tr>
      <w:tr w:rsidR="001D3BDC" w:rsidRPr="00114FCC" w14:paraId="63706A72" w14:textId="77777777" w:rsidTr="00F941D7">
        <w:trPr>
          <w:trHeight w:val="859"/>
          <w:jc w:val="center"/>
        </w:trPr>
        <w:tc>
          <w:tcPr>
            <w:tcW w:w="1406" w:type="dxa"/>
            <w:vAlign w:val="center"/>
            <w:hideMark/>
          </w:tcPr>
          <w:p w14:paraId="3AF099A8" w14:textId="061DDCFC" w:rsidR="001D3BDC" w:rsidRPr="00114FCC" w:rsidRDefault="001D3BDC" w:rsidP="00810EBA">
            <w:pPr>
              <w:widowControl/>
              <w:spacing w:line="200" w:lineRule="exact"/>
              <w:jc w:val="center"/>
              <w:rPr>
                <w:rFonts w:ascii="Segoe UI" w:eastAsia="游ゴシック" w:hAnsi="Segoe UI" w:cs="Segoe UI"/>
                <w:b/>
                <w:bCs/>
                <w:sz w:val="16"/>
                <w:szCs w:val="16"/>
              </w:rPr>
            </w:pPr>
            <w:r w:rsidRPr="00114FCC">
              <w:rPr>
                <w:rFonts w:ascii="Segoe UI" w:eastAsia="游ゴシック" w:hAnsi="Segoe UI" w:cs="Segoe UI"/>
                <w:b/>
                <w:bCs/>
                <w:sz w:val="16"/>
                <w:szCs w:val="16"/>
              </w:rPr>
              <w:t>Tang et al. (2025)</w:t>
            </w:r>
            <w:sdt>
              <w:sdtPr>
                <w:rPr>
                  <w:rFonts w:ascii="Segoe UI" w:eastAsia="游ゴシック" w:hAnsi="Segoe UI" w:cs="Segoe UI"/>
                  <w:b/>
                  <w:bCs/>
                  <w:sz w:val="16"/>
                  <w:szCs w:val="16"/>
                </w:rPr>
                <w:alias w:val="SmartCite Citation"/>
                <w:tag w:val="975c6539-032a-43e3-86b0-19b9e8f3d75f:1fd8fd06-5651-4686-a853-152d6242f624+"/>
                <w:id w:val="-147595107"/>
                <w:placeholder>
                  <w:docPart w:val="60BBF776AE9F4B218B3B4665EEAF5678"/>
                </w:placeholder>
              </w:sdtPr>
              <w:sdtEndPr/>
              <w:sdtContent>
                <w:r w:rsidR="00E855F6" w:rsidRPr="00114FCC">
                  <w:rPr>
                    <w:rFonts w:ascii="Segoe UI" w:hAnsi="Segoe UI" w:cs="Segoe UI"/>
                    <w:sz w:val="16"/>
                    <w:vertAlign w:val="superscript"/>
                  </w:rPr>
                  <w:t>18</w:t>
                </w:r>
              </w:sdtContent>
            </w:sdt>
          </w:p>
        </w:tc>
        <w:tc>
          <w:tcPr>
            <w:tcW w:w="1255" w:type="dxa"/>
            <w:vAlign w:val="center"/>
            <w:hideMark/>
          </w:tcPr>
          <w:p w14:paraId="3B43919B"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Waveguide multiplexing</w:t>
            </w:r>
          </w:p>
        </w:tc>
        <w:tc>
          <w:tcPr>
            <w:tcW w:w="672" w:type="dxa"/>
            <w:vAlign w:val="center"/>
            <w:hideMark/>
          </w:tcPr>
          <w:p w14:paraId="2A35BD67"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4</w:t>
            </w:r>
          </w:p>
        </w:tc>
        <w:tc>
          <w:tcPr>
            <w:tcW w:w="819" w:type="dxa"/>
            <w:vAlign w:val="center"/>
            <w:hideMark/>
          </w:tcPr>
          <w:p w14:paraId="6AAFE6F1"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Real</w:t>
            </w:r>
            <w:r w:rsidRPr="00114FCC">
              <w:rPr>
                <w:rFonts w:ascii="Segoe UI" w:eastAsia="游ゴシック" w:hAnsi="Segoe UI" w:cs="Segoe UI"/>
                <w:sz w:val="16"/>
                <w:szCs w:val="16"/>
              </w:rPr>
              <w:br/>
              <w:t>4 x 4</w:t>
            </w:r>
          </w:p>
        </w:tc>
        <w:tc>
          <w:tcPr>
            <w:tcW w:w="854" w:type="dxa"/>
            <w:vAlign w:val="center"/>
            <w:hideMark/>
          </w:tcPr>
          <w:p w14:paraId="793B932C"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WDM-crossbar</w:t>
            </w:r>
          </w:p>
        </w:tc>
        <w:tc>
          <w:tcPr>
            <w:tcW w:w="578" w:type="dxa"/>
            <w:vAlign w:val="center"/>
            <w:hideMark/>
          </w:tcPr>
          <w:p w14:paraId="7D8A0733"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20</w:t>
            </w:r>
          </w:p>
        </w:tc>
        <w:tc>
          <w:tcPr>
            <w:tcW w:w="752" w:type="dxa"/>
            <w:vAlign w:val="center"/>
            <w:hideMark/>
          </w:tcPr>
          <w:p w14:paraId="3343386C"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0.991</w:t>
            </w:r>
          </w:p>
        </w:tc>
        <w:tc>
          <w:tcPr>
            <w:tcW w:w="1265" w:type="dxa"/>
            <w:vAlign w:val="center"/>
            <w:hideMark/>
          </w:tcPr>
          <w:p w14:paraId="34D85BAE"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Deterministic</w:t>
            </w:r>
          </w:p>
        </w:tc>
        <w:tc>
          <w:tcPr>
            <w:tcW w:w="1339" w:type="dxa"/>
            <w:vAlign w:val="center"/>
            <w:hideMark/>
          </w:tcPr>
          <w:p w14:paraId="6B41F0E2"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f-MNIST 90.53% (almost electronic)</w:t>
            </w:r>
          </w:p>
        </w:tc>
        <w:tc>
          <w:tcPr>
            <w:tcW w:w="1516" w:type="dxa"/>
            <w:vAlign w:val="center"/>
            <w:hideMark/>
          </w:tcPr>
          <w:p w14:paraId="5BC303AA" w14:textId="77777777" w:rsidR="001D3BDC" w:rsidRPr="00114FCC" w:rsidRDefault="001D3BDC" w:rsidP="00810EBA">
            <w:pPr>
              <w:widowControl/>
              <w:spacing w:line="200" w:lineRule="exact"/>
              <w:jc w:val="center"/>
              <w:rPr>
                <w:rFonts w:ascii="Segoe UI" w:eastAsia="游ゴシック" w:hAnsi="Segoe UI" w:cs="Segoe UI"/>
                <w:sz w:val="16"/>
                <w:szCs w:val="16"/>
              </w:rPr>
            </w:pPr>
            <w:r w:rsidRPr="00114FCC">
              <w:rPr>
                <w:rFonts w:ascii="Segoe UI" w:eastAsia="游ゴシック" w:hAnsi="Segoe UI" w:cs="Segoe UI"/>
                <w:sz w:val="16"/>
                <w:szCs w:val="16"/>
              </w:rPr>
              <w:t>Waveguide multiplexing with multiport PDs</w:t>
            </w:r>
          </w:p>
        </w:tc>
      </w:tr>
    </w:tbl>
    <w:p w14:paraId="621321DD" w14:textId="398909C2" w:rsidR="00F941D7" w:rsidRPr="00114FCC" w:rsidRDefault="00A93797" w:rsidP="00DC0AFD">
      <w:pPr>
        <w:widowControl/>
        <w:jc w:val="center"/>
        <w:rPr>
          <w:rFonts w:ascii="Segoe UI" w:hAnsi="Segoe UI" w:cs="Segoe UI"/>
          <w:sz w:val="12"/>
          <w:szCs w:val="12"/>
        </w:rPr>
      </w:pPr>
      <w:r w:rsidRPr="00114FCC">
        <w:rPr>
          <w:rFonts w:ascii="Segoe UI" w:hAnsi="Segoe UI" w:cs="Segoe UI" w:hint="eastAsia"/>
          <w:sz w:val="16"/>
          <w:szCs w:val="16"/>
        </w:rPr>
        <w:t xml:space="preserve">* </w:t>
      </w:r>
      <w:r w:rsidR="00D57403" w:rsidRPr="00114FCC">
        <w:rPr>
          <w:rFonts w:ascii="Segoe UI" w:hAnsi="Segoe UI" w:cs="Segoe UI" w:hint="eastAsia"/>
          <w:sz w:val="16"/>
          <w:szCs w:val="16"/>
        </w:rPr>
        <w:t>the ratio of the number of optimization parameters for photonics and electronics.</w:t>
      </w:r>
    </w:p>
    <w:p w14:paraId="45BC35E4" w14:textId="77777777" w:rsidR="00F941D7" w:rsidRPr="00114FCC" w:rsidRDefault="00F941D7">
      <w:pPr>
        <w:widowControl/>
        <w:jc w:val="left"/>
        <w:rPr>
          <w:rFonts w:ascii="Segoe UI" w:hAnsi="Segoe UI" w:cs="Segoe UI"/>
          <w:sz w:val="22"/>
          <w:szCs w:val="22"/>
        </w:rPr>
      </w:pPr>
      <w:r w:rsidRPr="00114FCC">
        <w:rPr>
          <w:rFonts w:ascii="Segoe UI" w:hAnsi="Segoe UI" w:cs="Segoe UI"/>
          <w:sz w:val="22"/>
          <w:szCs w:val="22"/>
        </w:rPr>
        <w:br w:type="page"/>
      </w:r>
    </w:p>
    <w:p w14:paraId="64A763F6" w14:textId="14A3918A" w:rsidR="001D3BDC" w:rsidRPr="00114FCC" w:rsidRDefault="001D3BDC" w:rsidP="00DC0AFD">
      <w:pPr>
        <w:widowControl/>
        <w:jc w:val="center"/>
        <w:rPr>
          <w:rFonts w:ascii="Segoe UI" w:hAnsi="Segoe UI" w:cs="Segoe UI"/>
          <w:sz w:val="22"/>
          <w:szCs w:val="22"/>
        </w:rPr>
      </w:pPr>
      <w:r w:rsidRPr="00114FCC">
        <w:rPr>
          <w:rFonts w:ascii="Segoe UI" w:eastAsia="Arial" w:hAnsi="Segoe UI" w:cs="Segoe UI"/>
          <w:noProof/>
          <w:sz w:val="22"/>
          <w:szCs w:val="22"/>
        </w:rPr>
        <w:lastRenderedPageBreak/>
        <w:drawing>
          <wp:inline distT="0" distB="0" distL="0" distR="0" wp14:anchorId="5B74F801" wp14:editId="7A971FB0">
            <wp:extent cx="6476948" cy="4215765"/>
            <wp:effectExtent l="0" t="0" r="635" b="0"/>
            <wp:docPr id="17279341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34108" name="図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6948" cy="4215765"/>
                    </a:xfrm>
                    <a:prstGeom prst="rect">
                      <a:avLst/>
                    </a:prstGeom>
                  </pic:spPr>
                </pic:pic>
              </a:graphicData>
            </a:graphic>
          </wp:inline>
        </w:drawing>
      </w:r>
    </w:p>
    <w:p w14:paraId="04B2D3D3" w14:textId="37130489" w:rsidR="001D3BDC" w:rsidRPr="00114FCC" w:rsidRDefault="001D3BDC" w:rsidP="00A52B55">
      <w:pPr>
        <w:widowControl/>
        <w:pBdr>
          <w:top w:val="nil"/>
          <w:left w:val="nil"/>
          <w:bottom w:val="nil"/>
          <w:right w:val="nil"/>
          <w:between w:val="nil"/>
        </w:pBdr>
        <w:adjustRightInd w:val="0"/>
        <w:snapToGrid w:val="0"/>
        <w:rPr>
          <w:rFonts w:ascii="Segoe UI" w:hAnsi="Segoe UI" w:cs="Segoe UI"/>
          <w:sz w:val="22"/>
          <w:szCs w:val="22"/>
        </w:rPr>
      </w:pPr>
      <w:r w:rsidRPr="00114FCC">
        <w:rPr>
          <w:rFonts w:ascii="Segoe UI" w:eastAsia="Arial" w:hAnsi="Segoe UI" w:cs="Segoe UI"/>
          <w:b/>
          <w:sz w:val="22"/>
          <w:szCs w:val="22"/>
        </w:rPr>
        <w:t>F</w:t>
      </w:r>
      <w:r w:rsidR="00DD3AA7">
        <w:rPr>
          <w:rFonts w:ascii="Segoe UI" w:hAnsi="Segoe UI" w:cs="Segoe UI" w:hint="eastAsia"/>
          <w:b/>
          <w:sz w:val="22"/>
          <w:szCs w:val="22"/>
        </w:rPr>
        <w:t>ig</w:t>
      </w:r>
      <w:r w:rsidRPr="00114FCC">
        <w:rPr>
          <w:rFonts w:ascii="Segoe UI" w:eastAsia="Arial" w:hAnsi="Segoe UI" w:cs="Segoe UI"/>
          <w:b/>
          <w:sz w:val="22"/>
          <w:szCs w:val="22"/>
        </w:rPr>
        <w:t xml:space="preserve">. </w:t>
      </w:r>
      <w:r w:rsidRPr="00114FCC">
        <w:rPr>
          <w:rFonts w:ascii="Segoe UI" w:hAnsi="Segoe UI" w:cs="Segoe UI"/>
          <w:b/>
          <w:sz w:val="22"/>
          <w:szCs w:val="22"/>
        </w:rPr>
        <w:t>S</w:t>
      </w:r>
      <w:r w:rsidR="00DC0AFD" w:rsidRPr="00114FCC">
        <w:rPr>
          <w:rFonts w:ascii="Segoe UI" w:hAnsi="Segoe UI" w:cs="Segoe UI"/>
          <w:b/>
          <w:sz w:val="22"/>
          <w:szCs w:val="22"/>
        </w:rPr>
        <w:t>1</w:t>
      </w:r>
      <w:r w:rsidRPr="00114FCC">
        <w:rPr>
          <w:rFonts w:ascii="Segoe UI" w:eastAsia="Arial" w:hAnsi="Segoe UI" w:cs="Segoe UI"/>
          <w:b/>
          <w:sz w:val="22"/>
          <w:szCs w:val="22"/>
        </w:rPr>
        <w:t xml:space="preserve"> Deterministic calibration and </w:t>
      </w:r>
      <w:r w:rsidRPr="00114FCC">
        <w:rPr>
          <w:rFonts w:ascii="Segoe UI" w:hAnsi="Segoe UI" w:cs="Segoe UI"/>
          <w:b/>
          <w:bCs/>
          <w:sz w:val="22"/>
          <w:szCs w:val="22"/>
        </w:rPr>
        <w:t>binary-valued</w:t>
      </w:r>
      <w:r w:rsidRPr="00114FCC">
        <w:rPr>
          <w:rFonts w:ascii="Segoe UI" w:eastAsia="Arial" w:hAnsi="Segoe UI" w:cs="Segoe UI"/>
          <w:b/>
          <w:sz w:val="22"/>
          <w:szCs w:val="22"/>
        </w:rPr>
        <w:t xml:space="preserve"> matrix operations.</w:t>
      </w:r>
      <w:r w:rsidRPr="00114FCC">
        <w:rPr>
          <w:rFonts w:ascii="Segoe UI" w:eastAsia="Arial" w:hAnsi="Segoe UI" w:cs="Segoe UI"/>
          <w:sz w:val="22"/>
          <w:szCs w:val="22"/>
        </w:rPr>
        <w:t xml:space="preserve"> (a) Schematic of the deterministic calibration flow for </w:t>
      </w:r>
      <w:r w:rsidRPr="00114FCC">
        <w:rPr>
          <w:rFonts w:ascii="Segoe UI" w:hAnsi="Segoe UI" w:cs="Segoe UI"/>
          <w:sz w:val="22"/>
          <w:szCs w:val="22"/>
        </w:rPr>
        <w:t>binary-valued</w:t>
      </w:r>
      <w:r w:rsidRPr="00114FCC">
        <w:rPr>
          <w:rFonts w:ascii="Segoe UI" w:eastAsia="Arial" w:hAnsi="Segoe UI" w:cs="Segoe UI"/>
          <w:sz w:val="22"/>
          <w:szCs w:val="22"/>
        </w:rPr>
        <w:t xml:space="preserve"> operations. (b) Input and output correlation against the identity matrix setting</w:t>
      </w:r>
      <w:r w:rsidRPr="00114FCC">
        <w:rPr>
          <w:rFonts w:ascii="Segoe UI" w:hAnsi="Segoe UI" w:cs="Segoe UI"/>
          <w:sz w:val="22"/>
          <w:szCs w:val="22"/>
        </w:rPr>
        <w:t xml:space="preserve"> (input wavelength: 1,526 nm)</w:t>
      </w:r>
      <w:r w:rsidRPr="00114FCC">
        <w:rPr>
          <w:rFonts w:ascii="Segoe UI" w:eastAsia="Arial" w:hAnsi="Segoe UI" w:cs="Segoe UI"/>
          <w:sz w:val="22"/>
          <w:szCs w:val="22"/>
        </w:rPr>
        <w:t>. (c) Input and output correlations against the three random permutation matrix settings.</w:t>
      </w:r>
    </w:p>
    <w:p w14:paraId="4174ED1D" w14:textId="3DB94A40" w:rsidR="00DC0AFD" w:rsidRPr="00114FCC" w:rsidRDefault="00DC0AFD" w:rsidP="00DC0AFD">
      <w:pPr>
        <w:widowControl/>
        <w:jc w:val="left"/>
        <w:rPr>
          <w:rFonts w:ascii="Segoe UI" w:hAnsi="Segoe UI" w:cs="Segoe UI"/>
          <w:sz w:val="22"/>
          <w:szCs w:val="22"/>
        </w:rPr>
      </w:pPr>
      <w:r w:rsidRPr="00114FCC">
        <w:rPr>
          <w:rFonts w:ascii="Segoe UI" w:hAnsi="Segoe UI" w:cs="Segoe UI"/>
          <w:sz w:val="22"/>
          <w:szCs w:val="22"/>
        </w:rPr>
        <w:br w:type="page"/>
      </w:r>
    </w:p>
    <w:p w14:paraId="62A1DE7E" w14:textId="3E313CD7" w:rsidR="00DC0AFD" w:rsidRPr="00114FCC" w:rsidRDefault="0015223D" w:rsidP="00DC0AFD">
      <w:pPr>
        <w:adjustRightInd w:val="0"/>
        <w:snapToGrid w:val="0"/>
        <w:jc w:val="center"/>
        <w:rPr>
          <w:rFonts w:ascii="Segoe UI" w:hAnsi="Segoe UI" w:cs="Segoe UI"/>
          <w:sz w:val="22"/>
          <w:szCs w:val="22"/>
        </w:rPr>
      </w:pPr>
      <w:r w:rsidRPr="00114FCC">
        <w:rPr>
          <w:rFonts w:ascii="Segoe UI" w:hAnsi="Segoe UI" w:cs="Segoe UI"/>
          <w:noProof/>
          <w:sz w:val="22"/>
          <w:szCs w:val="22"/>
        </w:rPr>
        <w:lastRenderedPageBreak/>
        <w:drawing>
          <wp:inline distT="0" distB="0" distL="0" distR="0" wp14:anchorId="01F7CD3D" wp14:editId="015C6060">
            <wp:extent cx="6645910" cy="2002155"/>
            <wp:effectExtent l="0" t="0" r="2540" b="0"/>
            <wp:docPr id="1985241089" name="図 1"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41089" name="図 1" descr="グラフ, ヒストグラム&#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2002155"/>
                    </a:xfrm>
                    <a:prstGeom prst="rect">
                      <a:avLst/>
                    </a:prstGeom>
                  </pic:spPr>
                </pic:pic>
              </a:graphicData>
            </a:graphic>
          </wp:inline>
        </w:drawing>
      </w:r>
    </w:p>
    <w:p w14:paraId="25C07053" w14:textId="0E805CA0" w:rsidR="00DC0AFD" w:rsidRPr="00114FCC" w:rsidRDefault="00DC0AFD" w:rsidP="00810EBA">
      <w:pPr>
        <w:adjustRightInd w:val="0"/>
        <w:snapToGrid w:val="0"/>
        <w:rPr>
          <w:rFonts w:ascii="Segoe UI" w:hAnsi="Segoe UI" w:cs="Segoe UI"/>
          <w:sz w:val="22"/>
          <w:szCs w:val="22"/>
        </w:rPr>
      </w:pPr>
      <w:r w:rsidRPr="00114FCC">
        <w:rPr>
          <w:rFonts w:ascii="Segoe UI" w:hAnsi="Segoe UI" w:cs="Segoe UI"/>
          <w:b/>
          <w:bCs/>
          <w:sz w:val="22"/>
          <w:szCs w:val="22"/>
        </w:rPr>
        <w:t>F</w:t>
      </w:r>
      <w:r w:rsidR="00DD3AA7">
        <w:rPr>
          <w:rFonts w:ascii="Segoe UI" w:hAnsi="Segoe UI" w:cs="Segoe UI" w:hint="eastAsia"/>
          <w:b/>
          <w:bCs/>
          <w:sz w:val="22"/>
          <w:szCs w:val="22"/>
        </w:rPr>
        <w:t>ig</w:t>
      </w:r>
      <w:r w:rsidRPr="00114FCC">
        <w:rPr>
          <w:rFonts w:ascii="Segoe UI" w:hAnsi="Segoe UI" w:cs="Segoe UI"/>
          <w:b/>
          <w:bCs/>
          <w:sz w:val="22"/>
          <w:szCs w:val="22"/>
        </w:rPr>
        <w:t xml:space="preserve">. S2 Calibration for all phase shifters (PSs) in MZIs and their variation. </w:t>
      </w:r>
      <w:r w:rsidRPr="00114FCC">
        <w:rPr>
          <w:rFonts w:ascii="Segoe UI" w:hAnsi="Segoe UI" w:cs="Segoe UI"/>
          <w:sz w:val="22"/>
          <w:szCs w:val="22"/>
        </w:rPr>
        <w:t>(a) Schematic illustration of the waveform obtained during the calibration process. Histograms of (b) initial phase errors in the inner PSs in MZIs and (c) applied voltages for a π phase shift.</w:t>
      </w:r>
    </w:p>
    <w:p w14:paraId="5942E608" w14:textId="12ABD5BC" w:rsidR="00A52B55" w:rsidRPr="00114FCC" w:rsidRDefault="00A52B55">
      <w:pPr>
        <w:widowControl/>
        <w:jc w:val="left"/>
        <w:rPr>
          <w:rFonts w:ascii="Segoe UI" w:hAnsi="Segoe UI" w:cs="Segoe UI"/>
          <w:sz w:val="22"/>
          <w:szCs w:val="22"/>
        </w:rPr>
      </w:pPr>
      <w:r w:rsidRPr="00114FCC">
        <w:rPr>
          <w:rFonts w:ascii="Segoe UI" w:hAnsi="Segoe UI" w:cs="Segoe UI"/>
          <w:sz w:val="22"/>
          <w:szCs w:val="22"/>
        </w:rPr>
        <w:br w:type="page"/>
      </w:r>
    </w:p>
    <w:p w14:paraId="2897EA27" w14:textId="77506EB8" w:rsidR="001D3BDC" w:rsidRPr="00114FCC" w:rsidRDefault="0015223D" w:rsidP="009A550E">
      <w:pPr>
        <w:widowControl/>
        <w:adjustRightInd w:val="0"/>
        <w:snapToGrid w:val="0"/>
        <w:jc w:val="center"/>
        <w:rPr>
          <w:rFonts w:ascii="Segoe UI" w:eastAsia="Arial" w:hAnsi="Segoe UI" w:cs="Segoe UI"/>
          <w:sz w:val="22"/>
          <w:szCs w:val="22"/>
        </w:rPr>
      </w:pPr>
      <w:r w:rsidRPr="00114FCC">
        <w:rPr>
          <w:rFonts w:ascii="Segoe UI" w:eastAsia="Arial" w:hAnsi="Segoe UI" w:cs="Segoe UI"/>
          <w:noProof/>
          <w:sz w:val="22"/>
          <w:szCs w:val="22"/>
        </w:rPr>
        <w:lastRenderedPageBreak/>
        <w:drawing>
          <wp:inline distT="0" distB="0" distL="0" distR="0" wp14:anchorId="63B49183" wp14:editId="5080DC7A">
            <wp:extent cx="6645910" cy="2220345"/>
            <wp:effectExtent l="0" t="0" r="2540" b="8890"/>
            <wp:docPr id="3970792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9265" name="図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220345"/>
                    </a:xfrm>
                    <a:prstGeom prst="rect">
                      <a:avLst/>
                    </a:prstGeom>
                  </pic:spPr>
                </pic:pic>
              </a:graphicData>
            </a:graphic>
          </wp:inline>
        </w:drawing>
      </w:r>
    </w:p>
    <w:p w14:paraId="66FEAA44" w14:textId="59BB5207" w:rsidR="00577ABF" w:rsidRPr="00114FCC" w:rsidRDefault="001D3BDC" w:rsidP="00A52B55">
      <w:pPr>
        <w:widowControl/>
        <w:adjustRightInd w:val="0"/>
        <w:snapToGrid w:val="0"/>
        <w:rPr>
          <w:rFonts w:ascii="Segoe UI" w:eastAsia="Arial" w:hAnsi="Segoe UI" w:cs="Segoe UI"/>
          <w:color w:val="FF0000"/>
          <w:sz w:val="22"/>
          <w:szCs w:val="22"/>
        </w:rPr>
      </w:pPr>
      <w:r w:rsidRPr="00114FCC">
        <w:rPr>
          <w:rFonts w:ascii="Segoe UI" w:eastAsia="Arial" w:hAnsi="Segoe UI" w:cs="Segoe UI"/>
          <w:b/>
          <w:sz w:val="22"/>
          <w:szCs w:val="22"/>
        </w:rPr>
        <w:t>F</w:t>
      </w:r>
      <w:r w:rsidR="00DD3AA7">
        <w:rPr>
          <w:rFonts w:ascii="Segoe UI" w:hAnsi="Segoe UI" w:cs="Segoe UI" w:hint="eastAsia"/>
          <w:b/>
          <w:sz w:val="22"/>
          <w:szCs w:val="22"/>
        </w:rPr>
        <w:t>ig</w:t>
      </w:r>
      <w:r w:rsidRPr="00114FCC">
        <w:rPr>
          <w:rFonts w:ascii="Segoe UI" w:eastAsia="Arial" w:hAnsi="Segoe UI" w:cs="Segoe UI"/>
          <w:b/>
          <w:sz w:val="22"/>
          <w:szCs w:val="22"/>
        </w:rPr>
        <w:t xml:space="preserve">. </w:t>
      </w:r>
      <w:r w:rsidRPr="00114FCC">
        <w:rPr>
          <w:rFonts w:ascii="Segoe UI" w:hAnsi="Segoe UI" w:cs="Segoe UI"/>
          <w:b/>
          <w:sz w:val="22"/>
          <w:szCs w:val="22"/>
        </w:rPr>
        <w:t>S3</w:t>
      </w:r>
      <w:r w:rsidRPr="00114FCC">
        <w:rPr>
          <w:rFonts w:ascii="Segoe UI" w:eastAsia="Arial" w:hAnsi="Segoe UI" w:cs="Segoe UI"/>
          <w:b/>
          <w:sz w:val="22"/>
          <w:szCs w:val="22"/>
        </w:rPr>
        <w:t xml:space="preserve"> Crosstalk</w:t>
      </w:r>
      <w:r w:rsidRPr="00114FCC">
        <w:rPr>
          <w:rFonts w:ascii="Segoe UI" w:hAnsi="Segoe UI" w:cs="Segoe UI"/>
          <w:b/>
          <w:sz w:val="22"/>
          <w:szCs w:val="22"/>
        </w:rPr>
        <w:t xml:space="preserve"> in PIVMM control</w:t>
      </w:r>
      <w:r w:rsidRPr="00114FCC">
        <w:rPr>
          <w:rFonts w:ascii="Segoe UI" w:eastAsia="Arial" w:hAnsi="Segoe UI" w:cs="Segoe UI"/>
          <w:b/>
          <w:sz w:val="22"/>
          <w:szCs w:val="22"/>
        </w:rPr>
        <w:t>.</w:t>
      </w:r>
      <w:r w:rsidRPr="00114FCC">
        <w:rPr>
          <w:rFonts w:ascii="Segoe UI" w:eastAsia="Arial" w:hAnsi="Segoe UI" w:cs="Segoe UI"/>
          <w:sz w:val="22"/>
          <w:szCs w:val="22"/>
        </w:rPr>
        <w:t xml:space="preserve"> (a) Illustrations of the heat crosstalk caused by the heater phase shifters and the </w:t>
      </w:r>
      <w:r w:rsidRPr="00114FCC">
        <w:rPr>
          <w:rFonts w:ascii="Segoe UI" w:hAnsi="Segoe UI" w:cs="Segoe UI"/>
          <w:sz w:val="22"/>
          <w:szCs w:val="22"/>
        </w:rPr>
        <w:t>voltage drop</w:t>
      </w:r>
      <w:r w:rsidRPr="00114FCC">
        <w:rPr>
          <w:rFonts w:ascii="Segoe UI" w:eastAsia="Arial" w:hAnsi="Segoe UI" w:cs="Segoe UI"/>
          <w:sz w:val="22"/>
          <w:szCs w:val="22"/>
        </w:rPr>
        <w:t xml:space="preserve"> due to the wiring resistance at the common ground wire. (b) </w:t>
      </w:r>
      <w:r w:rsidR="003C4C2C" w:rsidRPr="00114FCC">
        <w:rPr>
          <w:rFonts w:ascii="Segoe UI" w:eastAsia="Arial" w:hAnsi="Segoe UI" w:cs="Segoe UI"/>
          <w:sz w:val="22"/>
          <w:szCs w:val="22"/>
        </w:rPr>
        <w:t>Simulated model-fidelity landscape without (left) and with (right) crosstalk, shown as a function of the phase configuration</w:t>
      </w:r>
      <w:r w:rsidR="003C4C2C" w:rsidRPr="00114FCC">
        <w:rPr>
          <w:rFonts w:ascii="ＭＳ 明朝" w:eastAsia="ＭＳ 明朝" w:hAnsi="ＭＳ 明朝" w:cs="ＭＳ 明朝" w:hint="eastAsia"/>
          <w:sz w:val="22"/>
          <w:szCs w:val="22"/>
        </w:rPr>
        <w:t xml:space="preserve"> </w:t>
      </w:r>
      <w:r w:rsidR="003C4C2C" w:rsidRPr="00114FCC">
        <w:rPr>
          <w:rFonts w:ascii="Segoe UI" w:hAnsi="Segoe UI" w:cs="Segoe UI"/>
          <w:sz w:val="22"/>
          <w:szCs w:val="22"/>
        </w:rPr>
        <w:t>θ</w:t>
      </w:r>
      <w:r w:rsidR="003C4C2C" w:rsidRPr="00114FCC">
        <w:rPr>
          <w:rFonts w:ascii="Segoe UI" w:eastAsia="Arial" w:hAnsi="Segoe UI" w:cs="Segoe UI"/>
          <w:sz w:val="22"/>
          <w:szCs w:val="22"/>
          <w:vertAlign w:val="subscript"/>
        </w:rPr>
        <w:t>set</w:t>
      </w:r>
      <w:r w:rsidR="003C4C2C" w:rsidRPr="00114FCC">
        <w:rPr>
          <w:rFonts w:ascii="Segoe UI" w:hAnsi="Segoe UI" w:cs="Segoe UI" w:hint="eastAsia"/>
          <w:sz w:val="22"/>
          <w:szCs w:val="22"/>
        </w:rPr>
        <w:t>(</w:t>
      </w:r>
      <w:r w:rsidR="003C4C2C" w:rsidRPr="00114FCC">
        <w:rPr>
          <w:rFonts w:ascii="Segoe UI" w:hAnsi="Segoe UI" w:cs="Segoe UI"/>
          <w:sz w:val="22"/>
          <w:szCs w:val="22"/>
        </w:rPr>
        <w:t>σ</w:t>
      </w:r>
      <w:r w:rsidR="003C4C2C" w:rsidRPr="00114FCC">
        <w:rPr>
          <w:rFonts w:ascii="Segoe UI" w:hAnsi="Segoe UI" w:cs="Segoe UI" w:hint="eastAsia"/>
          <w:sz w:val="22"/>
          <w:szCs w:val="22"/>
        </w:rPr>
        <w:t>).</w:t>
      </w:r>
      <w:r w:rsidR="003C4C2C" w:rsidRPr="00114FCC">
        <w:rPr>
          <w:rFonts w:ascii="Segoe UI" w:eastAsia="Arial" w:hAnsi="Segoe UI" w:cs="Segoe UI"/>
          <w:sz w:val="22"/>
          <w:szCs w:val="22"/>
        </w:rPr>
        <w:t xml:space="preserve"> </w:t>
      </w:r>
      <w:r w:rsidRPr="00114FCC">
        <w:rPr>
          <w:rFonts w:ascii="Segoe UI" w:eastAsia="Arial" w:hAnsi="Segoe UI" w:cs="Segoe UI"/>
          <w:sz w:val="22"/>
          <w:szCs w:val="22"/>
        </w:rPr>
        <w:t xml:space="preserve">(c) </w:t>
      </w:r>
      <w:r w:rsidR="003C4C2C" w:rsidRPr="00114FCC">
        <w:rPr>
          <w:rFonts w:ascii="Segoe UI" w:eastAsia="Arial" w:hAnsi="Segoe UI" w:cs="Segoe UI"/>
          <w:sz w:val="22"/>
          <w:szCs w:val="22"/>
        </w:rPr>
        <w:t xml:space="preserve">Experimental R² as a function of the standard deviation σ of the random phase perturbations in </w:t>
      </w:r>
      <w:r w:rsidR="003C4C2C" w:rsidRPr="00114FCC">
        <w:rPr>
          <w:rFonts w:ascii="Segoe UI" w:hAnsi="Segoe UI" w:cs="Segoe UI"/>
          <w:sz w:val="22"/>
          <w:szCs w:val="22"/>
        </w:rPr>
        <w:t>θ</w:t>
      </w:r>
      <w:r w:rsidR="003C4C2C" w:rsidRPr="00114FCC">
        <w:rPr>
          <w:rFonts w:ascii="Segoe UI" w:eastAsia="Arial" w:hAnsi="Segoe UI" w:cs="Segoe UI"/>
          <w:sz w:val="22"/>
          <w:szCs w:val="22"/>
          <w:vertAlign w:val="subscript"/>
        </w:rPr>
        <w:t>set</w:t>
      </w:r>
      <w:r w:rsidR="003C4C2C" w:rsidRPr="00114FCC">
        <w:rPr>
          <w:rFonts w:ascii="Segoe UI" w:eastAsia="Arial" w:hAnsi="Segoe UI" w:cs="Segoe UI"/>
          <w:sz w:val="22"/>
          <w:szCs w:val="22"/>
        </w:rPr>
        <w:t xml:space="preserve"> (σ).</w:t>
      </w:r>
    </w:p>
    <w:p w14:paraId="7269F764" w14:textId="0628B987" w:rsidR="00810EBA" w:rsidRPr="00114FCC" w:rsidRDefault="00577ABF" w:rsidP="00577ABF">
      <w:pPr>
        <w:widowControl/>
        <w:jc w:val="left"/>
        <w:rPr>
          <w:rFonts w:ascii="Segoe UI" w:hAnsi="Segoe UI" w:cs="Segoe UI"/>
          <w:sz w:val="22"/>
          <w:szCs w:val="22"/>
        </w:rPr>
      </w:pPr>
      <w:r w:rsidRPr="00114FCC">
        <w:rPr>
          <w:rFonts w:ascii="Segoe UI" w:eastAsia="Arial" w:hAnsi="Segoe UI" w:cs="Segoe UI"/>
          <w:sz w:val="22"/>
          <w:szCs w:val="22"/>
        </w:rPr>
        <w:br w:type="page"/>
      </w:r>
    </w:p>
    <w:p w14:paraId="339E138B" w14:textId="02EA957B" w:rsidR="00577ABF" w:rsidRPr="00114FCC" w:rsidRDefault="00577ABF" w:rsidP="00F941D7">
      <w:pPr>
        <w:widowControl/>
        <w:jc w:val="center"/>
        <w:rPr>
          <w:rFonts w:ascii="Segoe UI" w:hAnsi="Segoe UI" w:cs="Segoe UI"/>
          <w:sz w:val="22"/>
          <w:szCs w:val="22"/>
        </w:rPr>
      </w:pPr>
    </w:p>
    <w:p w14:paraId="03C6C90C" w14:textId="09243692" w:rsidR="00B11C14" w:rsidRPr="00114FCC" w:rsidRDefault="00B11C14" w:rsidP="00F941D7">
      <w:pPr>
        <w:widowControl/>
        <w:jc w:val="center"/>
        <w:rPr>
          <w:rFonts w:ascii="Segoe UI" w:hAnsi="Segoe UI" w:cs="Segoe UI"/>
          <w:sz w:val="22"/>
          <w:szCs w:val="22"/>
        </w:rPr>
      </w:pPr>
      <w:r w:rsidRPr="00114FCC">
        <w:rPr>
          <w:noProof/>
        </w:rPr>
        <w:drawing>
          <wp:inline distT="0" distB="0" distL="0" distR="0" wp14:anchorId="30924906" wp14:editId="2D7096EF">
            <wp:extent cx="4994967" cy="1922607"/>
            <wp:effectExtent l="0" t="0" r="0" b="1905"/>
            <wp:docPr id="998556840" name="図 1"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56840" name="図 1"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792" cy="1926004"/>
                    </a:xfrm>
                    <a:prstGeom prst="rect">
                      <a:avLst/>
                    </a:prstGeom>
                    <a:noFill/>
                    <a:ln>
                      <a:noFill/>
                    </a:ln>
                  </pic:spPr>
                </pic:pic>
              </a:graphicData>
            </a:graphic>
          </wp:inline>
        </w:drawing>
      </w:r>
    </w:p>
    <w:p w14:paraId="52607F15" w14:textId="48E657C3" w:rsidR="00577ABF" w:rsidRPr="00114FCC" w:rsidRDefault="00577ABF" w:rsidP="00577ABF">
      <w:pPr>
        <w:adjustRightInd w:val="0"/>
        <w:snapToGrid w:val="0"/>
        <w:rPr>
          <w:rFonts w:ascii="Segoe UI" w:hAnsi="Segoe UI" w:cs="Segoe UI"/>
          <w:sz w:val="22"/>
          <w:szCs w:val="22"/>
        </w:rPr>
      </w:pPr>
      <w:r w:rsidRPr="00114FCC">
        <w:rPr>
          <w:rFonts w:ascii="Segoe UI" w:hAnsi="Segoe UI" w:cs="Segoe UI"/>
          <w:b/>
          <w:bCs/>
          <w:sz w:val="22"/>
          <w:szCs w:val="22"/>
        </w:rPr>
        <w:t>F</w:t>
      </w:r>
      <w:r w:rsidR="00DD3AA7">
        <w:rPr>
          <w:rFonts w:ascii="Segoe UI" w:hAnsi="Segoe UI" w:cs="Segoe UI" w:hint="eastAsia"/>
          <w:b/>
          <w:bCs/>
          <w:sz w:val="22"/>
          <w:szCs w:val="22"/>
        </w:rPr>
        <w:t>ig</w:t>
      </w:r>
      <w:r w:rsidRPr="00114FCC">
        <w:rPr>
          <w:rFonts w:ascii="Segoe UI" w:hAnsi="Segoe UI" w:cs="Segoe UI"/>
          <w:b/>
          <w:bCs/>
          <w:sz w:val="22"/>
          <w:szCs w:val="22"/>
        </w:rPr>
        <w:t>. S</w:t>
      </w:r>
      <w:r w:rsidRPr="00114FCC">
        <w:rPr>
          <w:rFonts w:ascii="Segoe UI" w:hAnsi="Segoe UI" w:cs="Segoe UI" w:hint="eastAsia"/>
          <w:b/>
          <w:bCs/>
          <w:sz w:val="22"/>
          <w:szCs w:val="22"/>
        </w:rPr>
        <w:t xml:space="preserve">4 Simulated </w:t>
      </w:r>
      <w:r w:rsidR="00BE74B5" w:rsidRPr="00114FCC">
        <w:rPr>
          <w:rFonts w:ascii="Segoe UI" w:hAnsi="Segoe UI" w:cs="Segoe UI" w:hint="eastAsia"/>
          <w:b/>
          <w:bCs/>
          <w:sz w:val="22"/>
          <w:szCs w:val="22"/>
        </w:rPr>
        <w:t xml:space="preserve">matrix implementation fidelity under the realistic </w:t>
      </w:r>
      <w:r w:rsidRPr="00114FCC">
        <w:rPr>
          <w:rFonts w:ascii="Segoe UI" w:hAnsi="Segoe UI" w:cs="Segoe UI" w:hint="eastAsia"/>
          <w:b/>
          <w:bCs/>
          <w:sz w:val="22"/>
          <w:szCs w:val="22"/>
        </w:rPr>
        <w:t>thermal crosstalk</w:t>
      </w:r>
      <w:r w:rsidR="00BE74B5" w:rsidRPr="00114FCC">
        <w:rPr>
          <w:rFonts w:ascii="Segoe UI" w:hAnsi="Segoe UI" w:cs="Segoe UI" w:hint="eastAsia"/>
          <w:b/>
          <w:bCs/>
          <w:sz w:val="22"/>
          <w:szCs w:val="22"/>
        </w:rPr>
        <w:t xml:space="preserve"> assumption</w:t>
      </w:r>
      <w:r w:rsidRPr="00114FCC">
        <w:rPr>
          <w:rFonts w:ascii="Segoe UI" w:hAnsi="Segoe UI" w:cs="Segoe UI" w:hint="eastAsia"/>
          <w:b/>
          <w:bCs/>
          <w:sz w:val="22"/>
          <w:szCs w:val="22"/>
        </w:rPr>
        <w:t>.</w:t>
      </w:r>
      <w:r w:rsidRPr="00114FCC">
        <w:rPr>
          <w:rFonts w:ascii="Segoe UI" w:hAnsi="Segoe UI" w:cs="Segoe UI"/>
          <w:b/>
          <w:bCs/>
          <w:sz w:val="22"/>
          <w:szCs w:val="22"/>
        </w:rPr>
        <w:t xml:space="preserve"> </w:t>
      </w:r>
      <w:r w:rsidRPr="00114FCC">
        <w:rPr>
          <w:rFonts w:ascii="Segoe UI" w:hAnsi="Segoe UI" w:cs="Segoe UI"/>
          <w:sz w:val="22"/>
          <w:szCs w:val="22"/>
        </w:rPr>
        <w:t xml:space="preserve">(a) Example crosstalk matrix (56 </w:t>
      </w:r>
      <w:r w:rsidRPr="00114FCC">
        <w:rPr>
          <w:rFonts w:ascii="Segoe UI" w:eastAsia="ＭＳ 明朝" w:hAnsi="Segoe UI" w:cs="Segoe UI"/>
          <w:sz w:val="22"/>
          <w:szCs w:val="22"/>
        </w:rPr>
        <w:t xml:space="preserve">× </w:t>
      </w:r>
      <w:r w:rsidRPr="00114FCC">
        <w:rPr>
          <w:rFonts w:ascii="Segoe UI" w:hAnsi="Segoe UI" w:cs="Segoe UI"/>
          <w:sz w:val="22"/>
          <w:szCs w:val="22"/>
        </w:rPr>
        <w:t xml:space="preserve">56) for </w:t>
      </w:r>
      <w:r w:rsidRPr="00114FCC">
        <w:rPr>
          <w:rFonts w:ascii="Segoe UI" w:hAnsi="Segoe UI" w:cs="Segoe UI"/>
          <w:i/>
          <w:iCs/>
          <w:sz w:val="22"/>
          <w:szCs w:val="22"/>
        </w:rPr>
        <w:t xml:space="preserve">N </w:t>
      </w:r>
      <w:r w:rsidRPr="00114FCC">
        <w:rPr>
          <w:rFonts w:ascii="Segoe UI" w:hAnsi="Segoe UI" w:cs="Segoe UI"/>
          <w:sz w:val="22"/>
          <w:szCs w:val="22"/>
        </w:rPr>
        <w:t xml:space="preserve">= 8 and </w:t>
      </w:r>
      <w:r w:rsidRPr="00114FCC">
        <w:rPr>
          <w:rFonts w:ascii="Segoe UI" w:hAnsi="Segoe UI" w:cs="Segoe UI"/>
          <w:i/>
          <w:iCs/>
          <w:sz w:val="22"/>
          <w:szCs w:val="22"/>
        </w:rPr>
        <w:t>K</w:t>
      </w:r>
      <w:r w:rsidRPr="00114FCC">
        <w:rPr>
          <w:rFonts w:ascii="Segoe UI" w:hAnsi="Segoe UI" w:cs="Segoe UI"/>
          <w:sz w:val="22"/>
          <w:szCs w:val="22"/>
          <w:vertAlign w:val="subscript"/>
        </w:rPr>
        <w:t>0</w:t>
      </w:r>
      <w:r w:rsidRPr="00114FCC">
        <w:rPr>
          <w:rFonts w:ascii="Segoe UI" w:hAnsi="Segoe UI" w:cs="Segoe UI"/>
          <w:sz w:val="22"/>
          <w:szCs w:val="22"/>
        </w:rPr>
        <w:t xml:space="preserve">=0.03. (b) Fidelity versus matrix size for three crosstalk strengths, </w:t>
      </w:r>
      <w:r w:rsidRPr="00114FCC">
        <w:rPr>
          <w:rFonts w:ascii="Segoe UI" w:hAnsi="Segoe UI" w:cs="Segoe UI"/>
          <w:i/>
          <w:iCs/>
          <w:sz w:val="22"/>
          <w:szCs w:val="22"/>
        </w:rPr>
        <w:t>K</w:t>
      </w:r>
      <w:r w:rsidRPr="00114FCC">
        <w:rPr>
          <w:rFonts w:ascii="Segoe UI" w:hAnsi="Segoe UI" w:cs="Segoe UI"/>
          <w:sz w:val="22"/>
          <w:szCs w:val="22"/>
          <w:vertAlign w:val="subscript"/>
        </w:rPr>
        <w:t>0</w:t>
      </w:r>
      <w:r w:rsidRPr="00114FCC">
        <w:rPr>
          <w:rFonts w:ascii="Segoe UI" w:hAnsi="Segoe UI" w:cs="Segoe UI"/>
          <w:sz w:val="22"/>
          <w:szCs w:val="22"/>
        </w:rPr>
        <w:t xml:space="preserve"> = 0.01, 0.02, 0.03 (increasing from weak to strong). Curves show the mean fidelity; shaded bands indicate the standard deviation across 100 random phase configurations.</w:t>
      </w:r>
    </w:p>
    <w:p w14:paraId="6BED5283" w14:textId="16D24487" w:rsidR="009A550E" w:rsidRPr="00114FCC" w:rsidRDefault="00810EBA" w:rsidP="00577ABF">
      <w:pPr>
        <w:widowControl/>
        <w:jc w:val="left"/>
        <w:rPr>
          <w:rFonts w:ascii="Segoe UI" w:hAnsi="Segoe UI" w:cs="Segoe UI"/>
          <w:sz w:val="22"/>
          <w:szCs w:val="22"/>
        </w:rPr>
      </w:pPr>
      <w:r w:rsidRPr="00114FCC">
        <w:rPr>
          <w:rFonts w:ascii="Segoe UI" w:eastAsia="Arial" w:hAnsi="Segoe UI" w:cs="Segoe UI"/>
          <w:sz w:val="22"/>
          <w:szCs w:val="22"/>
        </w:rPr>
        <w:br w:type="page"/>
      </w:r>
    </w:p>
    <w:p w14:paraId="1BE41A76" w14:textId="0C2FD624" w:rsidR="0015223D" w:rsidRPr="00114FCC" w:rsidRDefault="00CE2458" w:rsidP="00737E15">
      <w:pPr>
        <w:widowControl/>
        <w:jc w:val="center"/>
        <w:rPr>
          <w:rFonts w:ascii="Segoe UI" w:hAnsi="Segoe UI" w:cs="Segoe UI"/>
          <w:sz w:val="22"/>
          <w:szCs w:val="22"/>
        </w:rPr>
      </w:pPr>
      <w:r w:rsidRPr="00114FCC">
        <w:rPr>
          <w:rFonts w:ascii="Segoe UI" w:hAnsi="Segoe UI" w:cs="Segoe UI"/>
          <w:noProof/>
          <w:sz w:val="22"/>
          <w:szCs w:val="22"/>
        </w:rPr>
        <w:lastRenderedPageBreak/>
        <w:drawing>
          <wp:inline distT="0" distB="0" distL="0" distR="0" wp14:anchorId="2236E757" wp14:editId="15C20D31">
            <wp:extent cx="6293482" cy="2237237"/>
            <wp:effectExtent l="0" t="0" r="0" b="0"/>
            <wp:docPr id="365177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7276"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3482" cy="2237237"/>
                    </a:xfrm>
                    <a:prstGeom prst="rect">
                      <a:avLst/>
                    </a:prstGeom>
                  </pic:spPr>
                </pic:pic>
              </a:graphicData>
            </a:graphic>
          </wp:inline>
        </w:drawing>
      </w:r>
    </w:p>
    <w:p w14:paraId="18D7E6EE" w14:textId="7596730C" w:rsidR="0015223D" w:rsidRPr="00114FCC" w:rsidRDefault="0015223D" w:rsidP="0015223D">
      <w:pPr>
        <w:widowControl/>
        <w:rPr>
          <w:rFonts w:ascii="Segoe UI" w:hAnsi="Segoe UI" w:cs="Segoe UI"/>
          <w:sz w:val="22"/>
          <w:szCs w:val="22"/>
        </w:rPr>
      </w:pPr>
      <w:r w:rsidRPr="00114FCC">
        <w:rPr>
          <w:rFonts w:ascii="Segoe UI" w:hAnsi="Segoe UI" w:cs="Segoe UI"/>
          <w:b/>
          <w:bCs/>
          <w:sz w:val="22"/>
          <w:szCs w:val="22"/>
        </w:rPr>
        <w:t>F</w:t>
      </w:r>
      <w:r w:rsidR="00DD3AA7">
        <w:rPr>
          <w:rFonts w:ascii="Segoe UI" w:hAnsi="Segoe UI" w:cs="Segoe UI" w:hint="eastAsia"/>
          <w:b/>
          <w:bCs/>
          <w:sz w:val="22"/>
          <w:szCs w:val="22"/>
        </w:rPr>
        <w:t>ig.S5</w:t>
      </w:r>
      <w:r w:rsidRPr="00114FCC">
        <w:rPr>
          <w:rFonts w:ascii="Segoe UI" w:hAnsi="Segoe UI" w:cs="Segoe UI" w:hint="eastAsia"/>
          <w:b/>
          <w:bCs/>
          <w:sz w:val="22"/>
          <w:szCs w:val="22"/>
        </w:rPr>
        <w:t xml:space="preserve"> Comparison of correlation plots between experimental and simulated output before and after phase parameter update for MNIST classification. </w:t>
      </w:r>
      <w:r w:rsidRPr="00114FCC">
        <w:rPr>
          <w:rFonts w:ascii="Segoe UI" w:hAnsi="Segoe UI" w:cs="Segoe UI"/>
          <w:sz w:val="22"/>
          <w:szCs w:val="22"/>
        </w:rPr>
        <w:t xml:space="preserve">(a) </w:t>
      </w:r>
      <w:r w:rsidRPr="00114FCC">
        <w:rPr>
          <w:rFonts w:ascii="Segoe UI" w:hAnsi="Segoe UI" w:cs="Segoe UI" w:hint="eastAsia"/>
          <w:sz w:val="22"/>
          <w:szCs w:val="22"/>
        </w:rPr>
        <w:t>Correlation plot in the case of iterative CPL. (</w:t>
      </w:r>
      <w:r w:rsidR="00D57403" w:rsidRPr="00114FCC">
        <w:rPr>
          <w:rFonts w:ascii="Segoe UI" w:hAnsi="Segoe UI" w:cs="Segoe UI" w:hint="eastAsia"/>
          <w:sz w:val="22"/>
          <w:szCs w:val="22"/>
        </w:rPr>
        <w:t>b</w:t>
      </w:r>
      <w:r w:rsidRPr="00114FCC">
        <w:rPr>
          <w:rFonts w:ascii="Segoe UI" w:hAnsi="Segoe UI" w:cs="Segoe UI" w:hint="eastAsia"/>
          <w:sz w:val="22"/>
          <w:szCs w:val="22"/>
        </w:rPr>
        <w:t>) Correlation plot in the case of iterative disorder-aware CPL.</w:t>
      </w:r>
    </w:p>
    <w:p w14:paraId="7A6CA8D7" w14:textId="2F243A7A" w:rsidR="0015223D" w:rsidRPr="00114FCC" w:rsidRDefault="0015223D">
      <w:pPr>
        <w:widowControl/>
        <w:jc w:val="left"/>
        <w:rPr>
          <w:rFonts w:ascii="Segoe UI" w:hAnsi="Segoe UI" w:cs="Segoe UI"/>
          <w:sz w:val="22"/>
          <w:szCs w:val="22"/>
        </w:rPr>
      </w:pPr>
      <w:r w:rsidRPr="00114FCC">
        <w:rPr>
          <w:rFonts w:ascii="Segoe UI" w:hAnsi="Segoe UI" w:cs="Segoe UI"/>
          <w:sz w:val="22"/>
          <w:szCs w:val="22"/>
        </w:rPr>
        <w:br w:type="page"/>
      </w:r>
    </w:p>
    <w:p w14:paraId="05BE3B9E" w14:textId="689134E9" w:rsidR="005859B6" w:rsidRPr="00114FCC" w:rsidRDefault="0015223D" w:rsidP="00810EBA">
      <w:pPr>
        <w:adjustRightInd w:val="0"/>
        <w:snapToGrid w:val="0"/>
        <w:jc w:val="center"/>
        <w:rPr>
          <w:rFonts w:ascii="Segoe UI" w:hAnsi="Segoe UI" w:cs="Segoe UI"/>
          <w:sz w:val="22"/>
          <w:szCs w:val="22"/>
        </w:rPr>
      </w:pPr>
      <w:r w:rsidRPr="00114FCC">
        <w:rPr>
          <w:rFonts w:ascii="Segoe UI" w:hAnsi="Segoe UI" w:cs="Segoe UI"/>
          <w:noProof/>
          <w:sz w:val="22"/>
          <w:szCs w:val="22"/>
        </w:rPr>
        <w:lastRenderedPageBreak/>
        <w:drawing>
          <wp:inline distT="0" distB="0" distL="0" distR="0" wp14:anchorId="25A7D00C" wp14:editId="4AE7A41E">
            <wp:extent cx="6645910" cy="2223770"/>
            <wp:effectExtent l="0" t="0" r="2540" b="5080"/>
            <wp:docPr id="401978514" name="図 7"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78514" name="図 7" descr="グラフ, ヒストグラム&#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2223770"/>
                    </a:xfrm>
                    <a:prstGeom prst="rect">
                      <a:avLst/>
                    </a:prstGeom>
                  </pic:spPr>
                </pic:pic>
              </a:graphicData>
            </a:graphic>
          </wp:inline>
        </w:drawing>
      </w:r>
    </w:p>
    <w:p w14:paraId="35962C9A" w14:textId="46160266" w:rsidR="0027419C" w:rsidRPr="00114FCC" w:rsidRDefault="005859B6" w:rsidP="00A52B55">
      <w:pPr>
        <w:widowControl/>
        <w:rPr>
          <w:rFonts w:ascii="Segoe UI" w:hAnsi="Segoe UI" w:cs="Segoe UI"/>
          <w:sz w:val="22"/>
          <w:szCs w:val="22"/>
        </w:rPr>
      </w:pPr>
      <w:r w:rsidRPr="00114FCC">
        <w:rPr>
          <w:rFonts w:ascii="Segoe UI" w:hAnsi="Segoe UI" w:cs="Segoe UI"/>
          <w:b/>
          <w:bCs/>
          <w:sz w:val="22"/>
          <w:szCs w:val="22"/>
        </w:rPr>
        <w:t>F</w:t>
      </w:r>
      <w:r w:rsidR="00DD3AA7">
        <w:rPr>
          <w:rFonts w:ascii="Segoe UI" w:hAnsi="Segoe UI" w:cs="Segoe UI" w:hint="eastAsia"/>
          <w:b/>
          <w:bCs/>
          <w:sz w:val="22"/>
          <w:szCs w:val="22"/>
        </w:rPr>
        <w:t>ig</w:t>
      </w:r>
      <w:r w:rsidRPr="00114FCC">
        <w:rPr>
          <w:rFonts w:ascii="Segoe UI" w:hAnsi="Segoe UI" w:cs="Segoe UI"/>
          <w:b/>
          <w:bCs/>
          <w:sz w:val="22"/>
          <w:szCs w:val="22"/>
        </w:rPr>
        <w:t>. S</w:t>
      </w:r>
      <w:r w:rsidR="00F941D7" w:rsidRPr="00114FCC">
        <w:rPr>
          <w:rFonts w:ascii="Segoe UI" w:hAnsi="Segoe UI" w:cs="Segoe UI" w:hint="eastAsia"/>
          <w:b/>
          <w:bCs/>
          <w:sz w:val="22"/>
          <w:szCs w:val="22"/>
        </w:rPr>
        <w:t>6</w:t>
      </w:r>
      <w:r w:rsidR="00577ABF" w:rsidRPr="00114FCC">
        <w:rPr>
          <w:rFonts w:ascii="Segoe UI" w:hAnsi="Segoe UI" w:cs="Segoe UI" w:hint="eastAsia"/>
          <w:b/>
          <w:bCs/>
          <w:sz w:val="22"/>
          <w:szCs w:val="22"/>
        </w:rPr>
        <w:t xml:space="preserve"> Simulated frequency dependence on the MNIST classification accuracy. </w:t>
      </w:r>
      <w:r w:rsidRPr="00114FCC">
        <w:rPr>
          <w:rFonts w:ascii="Segoe UI" w:hAnsi="Segoe UI" w:cs="Segoe UI"/>
          <w:sz w:val="22"/>
          <w:szCs w:val="22"/>
        </w:rPr>
        <w:t>(a) Simulation results illustrating the wavelength dependence of MNIST classification accuracy, accounting for various levels of fabrication error. (b) Simulated reduction in MNIST classification accuracy within the ±1 THz range. The dotted blue line represents the experimentally obtained value.</w:t>
      </w:r>
    </w:p>
    <w:p w14:paraId="24F61290" w14:textId="77777777" w:rsidR="0027419C" w:rsidRPr="00114FCC" w:rsidRDefault="0027419C" w:rsidP="00A52B55">
      <w:pPr>
        <w:widowControl/>
        <w:jc w:val="left"/>
        <w:rPr>
          <w:rFonts w:ascii="Segoe UI" w:hAnsi="Segoe UI" w:cs="Segoe UI"/>
          <w:sz w:val="22"/>
          <w:szCs w:val="22"/>
        </w:rPr>
      </w:pPr>
      <w:r w:rsidRPr="00114FCC">
        <w:rPr>
          <w:rFonts w:ascii="Segoe UI" w:hAnsi="Segoe UI" w:cs="Segoe UI"/>
          <w:sz w:val="22"/>
          <w:szCs w:val="22"/>
        </w:rPr>
        <w:br w:type="page"/>
      </w:r>
    </w:p>
    <w:p w14:paraId="0513B6DF" w14:textId="4592885F" w:rsidR="005859B6" w:rsidRPr="00114FCC" w:rsidRDefault="0027419C" w:rsidP="007768FC">
      <w:pPr>
        <w:pStyle w:val="1"/>
      </w:pPr>
      <w:r w:rsidRPr="00114FCC">
        <w:lastRenderedPageBreak/>
        <w:t>Supplementary references</w:t>
      </w:r>
    </w:p>
    <w:sdt>
      <w:sdtPr>
        <w:rPr>
          <w:rFonts w:ascii="Segoe UI" w:eastAsia="ＭＳ Ｐゴシック" w:hAnsi="Segoe UI" w:cs="Segoe UI"/>
          <w:sz w:val="22"/>
          <w:szCs w:val="22"/>
        </w:rPr>
        <w:alias w:val="SmartCite Bibliography"/>
        <w:tag w:val="Nature+{&quot;language&quot;:&quot;en-US&quot;,&quot;isSectionsModeOn&quot;:false}"/>
        <w:id w:val="33936858"/>
        <w:placeholder>
          <w:docPart w:val="DefaultPlaceholder_-1854013440"/>
        </w:placeholder>
      </w:sdtPr>
      <w:sdtEndPr/>
      <w:sdtContent>
        <w:p w14:paraId="0662E92F" w14:textId="77777777" w:rsidR="00E855F6" w:rsidRPr="00114FCC" w:rsidRDefault="00E855F6" w:rsidP="00E855F6">
          <w:pPr>
            <w:widowControl/>
            <w:divId w:val="1149057811"/>
            <w:rPr>
              <w:rFonts w:ascii="Segoe UI" w:hAnsi="Segoe UI" w:cs="Segoe UI"/>
              <w:sz w:val="22"/>
              <w:szCs w:val="24"/>
            </w:rPr>
          </w:pPr>
        </w:p>
        <w:p w14:paraId="1B986427"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 Ahmed, S. R. </w:t>
          </w:r>
          <w:r w:rsidRPr="00114FCC">
            <w:rPr>
              <w:rFonts w:ascii="Segoe UI" w:hAnsi="Segoe UI" w:cs="Segoe UI"/>
              <w:i/>
              <w:iCs/>
              <w:sz w:val="22"/>
            </w:rPr>
            <w:t>et al.</w:t>
          </w:r>
          <w:r w:rsidRPr="00114FCC">
            <w:rPr>
              <w:rFonts w:ascii="Segoe UI" w:hAnsi="Segoe UI" w:cs="Segoe UI"/>
              <w:sz w:val="22"/>
            </w:rPr>
            <w:t xml:space="preserve"> Universal photonic artificial intelligence acceleration. </w:t>
          </w:r>
          <w:r w:rsidRPr="00114FCC">
            <w:rPr>
              <w:rFonts w:ascii="Segoe UI" w:hAnsi="Segoe UI" w:cs="Segoe UI"/>
              <w:i/>
              <w:iCs/>
              <w:sz w:val="22"/>
            </w:rPr>
            <w:t>Nature</w:t>
          </w:r>
          <w:r w:rsidRPr="00114FCC">
            <w:rPr>
              <w:rFonts w:ascii="Segoe UI" w:hAnsi="Segoe UI" w:cs="Segoe UI"/>
              <w:sz w:val="22"/>
            </w:rPr>
            <w:t xml:space="preserve"> </w:t>
          </w:r>
          <w:r w:rsidRPr="00114FCC">
            <w:rPr>
              <w:rFonts w:ascii="Segoe UI" w:hAnsi="Segoe UI" w:cs="Segoe UI"/>
              <w:b/>
              <w:bCs/>
              <w:sz w:val="22"/>
            </w:rPr>
            <w:t>640</w:t>
          </w:r>
          <w:r w:rsidRPr="00114FCC">
            <w:rPr>
              <w:rFonts w:ascii="Segoe UI" w:hAnsi="Segoe UI" w:cs="Segoe UI"/>
              <w:sz w:val="22"/>
            </w:rPr>
            <w:t>, 368–374 (2025).</w:t>
          </w:r>
        </w:p>
        <w:p w14:paraId="4046E8DC"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2. Shastri, B. J. </w:t>
          </w:r>
          <w:r w:rsidRPr="00114FCC">
            <w:rPr>
              <w:rFonts w:ascii="Segoe UI" w:hAnsi="Segoe UI" w:cs="Segoe UI"/>
              <w:i/>
              <w:iCs/>
              <w:sz w:val="22"/>
            </w:rPr>
            <w:t>et al.</w:t>
          </w:r>
          <w:r w:rsidRPr="00114FCC">
            <w:rPr>
              <w:rFonts w:ascii="Segoe UI" w:hAnsi="Segoe UI" w:cs="Segoe UI"/>
              <w:sz w:val="22"/>
            </w:rPr>
            <w:t xml:space="preserve"> Photonics for artificial intelligence and neuromorphic computing. </w:t>
          </w:r>
          <w:r w:rsidRPr="00114FCC">
            <w:rPr>
              <w:rFonts w:ascii="Segoe UI" w:hAnsi="Segoe UI" w:cs="Segoe UI"/>
              <w:i/>
              <w:iCs/>
              <w:sz w:val="22"/>
            </w:rPr>
            <w:t>Nat. Photonics</w:t>
          </w:r>
          <w:r w:rsidRPr="00114FCC">
            <w:rPr>
              <w:rFonts w:ascii="Segoe UI" w:hAnsi="Segoe UI" w:cs="Segoe UI"/>
              <w:sz w:val="22"/>
            </w:rPr>
            <w:t xml:space="preserve"> </w:t>
          </w:r>
          <w:r w:rsidRPr="00114FCC">
            <w:rPr>
              <w:rFonts w:ascii="Segoe UI" w:hAnsi="Segoe UI" w:cs="Segoe UI"/>
              <w:b/>
              <w:bCs/>
              <w:sz w:val="22"/>
            </w:rPr>
            <w:t>15</w:t>
          </w:r>
          <w:r w:rsidRPr="00114FCC">
            <w:rPr>
              <w:rFonts w:ascii="Segoe UI" w:hAnsi="Segoe UI" w:cs="Segoe UI"/>
              <w:sz w:val="22"/>
            </w:rPr>
            <w:t>, 102–114 (2021).</w:t>
          </w:r>
        </w:p>
        <w:p w14:paraId="7B601EB4"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3. Huang, C. </w:t>
          </w:r>
          <w:r w:rsidRPr="00114FCC">
            <w:rPr>
              <w:rFonts w:ascii="Segoe UI" w:hAnsi="Segoe UI" w:cs="Segoe UI"/>
              <w:i/>
              <w:iCs/>
              <w:sz w:val="22"/>
            </w:rPr>
            <w:t>et al.</w:t>
          </w:r>
          <w:r w:rsidRPr="00114FCC">
            <w:rPr>
              <w:rFonts w:ascii="Segoe UI" w:hAnsi="Segoe UI" w:cs="Segoe UI"/>
              <w:sz w:val="22"/>
            </w:rPr>
            <w:t xml:space="preserve"> Prospects and applications of photonic neural networks. </w:t>
          </w:r>
          <w:r w:rsidRPr="00114FCC">
            <w:rPr>
              <w:rFonts w:ascii="Segoe UI" w:hAnsi="Segoe UI" w:cs="Segoe UI"/>
              <w:i/>
              <w:iCs/>
              <w:sz w:val="22"/>
            </w:rPr>
            <w:t>Adv. Phys.: X</w:t>
          </w:r>
          <w:r w:rsidRPr="00114FCC">
            <w:rPr>
              <w:rFonts w:ascii="Segoe UI" w:hAnsi="Segoe UI" w:cs="Segoe UI"/>
              <w:sz w:val="22"/>
            </w:rPr>
            <w:t xml:space="preserve"> </w:t>
          </w:r>
          <w:r w:rsidRPr="00114FCC">
            <w:rPr>
              <w:rFonts w:ascii="Segoe UI" w:hAnsi="Segoe UI" w:cs="Segoe UI"/>
              <w:b/>
              <w:bCs/>
              <w:sz w:val="22"/>
            </w:rPr>
            <w:t>7</w:t>
          </w:r>
          <w:r w:rsidRPr="00114FCC">
            <w:rPr>
              <w:rFonts w:ascii="Segoe UI" w:hAnsi="Segoe UI" w:cs="Segoe UI"/>
              <w:sz w:val="22"/>
            </w:rPr>
            <w:t>, 1981155 (2021).</w:t>
          </w:r>
        </w:p>
        <w:p w14:paraId="3186D6FA"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4. Nahmias, M. A. </w:t>
          </w:r>
          <w:r w:rsidRPr="00114FCC">
            <w:rPr>
              <w:rFonts w:ascii="Segoe UI" w:hAnsi="Segoe UI" w:cs="Segoe UI"/>
              <w:i/>
              <w:iCs/>
              <w:sz w:val="22"/>
            </w:rPr>
            <w:t>et al.</w:t>
          </w:r>
          <w:r w:rsidRPr="00114FCC">
            <w:rPr>
              <w:rFonts w:ascii="Segoe UI" w:hAnsi="Segoe UI" w:cs="Segoe UI"/>
              <w:sz w:val="22"/>
            </w:rPr>
            <w:t xml:space="preserve"> Photonic Multiply-Accumulate Operations for Neural Networks. </w:t>
          </w:r>
          <w:r w:rsidRPr="00114FCC">
            <w:rPr>
              <w:rFonts w:ascii="Segoe UI" w:hAnsi="Segoe UI" w:cs="Segoe UI"/>
              <w:i/>
              <w:iCs/>
              <w:sz w:val="22"/>
            </w:rPr>
            <w:t>IEEE J. Sel. Top. Quantum Electron.</w:t>
          </w:r>
          <w:r w:rsidRPr="00114FCC">
            <w:rPr>
              <w:rFonts w:ascii="Segoe UI" w:hAnsi="Segoe UI" w:cs="Segoe UI"/>
              <w:sz w:val="22"/>
            </w:rPr>
            <w:t xml:space="preserve"> </w:t>
          </w:r>
          <w:r w:rsidRPr="00114FCC">
            <w:rPr>
              <w:rFonts w:ascii="Segoe UI" w:hAnsi="Segoe UI" w:cs="Segoe UI"/>
              <w:b/>
              <w:bCs/>
              <w:sz w:val="22"/>
            </w:rPr>
            <w:t>26</w:t>
          </w:r>
          <w:r w:rsidRPr="00114FCC">
            <w:rPr>
              <w:rFonts w:ascii="Segoe UI" w:hAnsi="Segoe UI" w:cs="Segoe UI"/>
              <w:sz w:val="22"/>
            </w:rPr>
            <w:t>, 1–18 (2019).</w:t>
          </w:r>
        </w:p>
        <w:p w14:paraId="1CF20AC4"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5. Tait, A. N. </w:t>
          </w:r>
          <w:r w:rsidRPr="00114FCC">
            <w:rPr>
              <w:rFonts w:ascii="Segoe UI" w:hAnsi="Segoe UI" w:cs="Segoe UI"/>
              <w:i/>
              <w:iCs/>
              <w:sz w:val="22"/>
            </w:rPr>
            <w:t>et al.</w:t>
          </w:r>
          <w:r w:rsidRPr="00114FCC">
            <w:rPr>
              <w:rFonts w:ascii="Segoe UI" w:hAnsi="Segoe UI" w:cs="Segoe UI"/>
              <w:sz w:val="22"/>
            </w:rPr>
            <w:t xml:space="preserve"> Neuromorphic photonic networks using silicon photonic weight banks. </w:t>
          </w:r>
          <w:r w:rsidRPr="00114FCC">
            <w:rPr>
              <w:rFonts w:ascii="Segoe UI" w:hAnsi="Segoe UI" w:cs="Segoe UI"/>
              <w:i/>
              <w:iCs/>
              <w:sz w:val="22"/>
            </w:rPr>
            <w:t>Sci. Rep.</w:t>
          </w:r>
          <w:r w:rsidRPr="00114FCC">
            <w:rPr>
              <w:rFonts w:ascii="Segoe UI" w:hAnsi="Segoe UI" w:cs="Segoe UI"/>
              <w:sz w:val="22"/>
            </w:rPr>
            <w:t xml:space="preserve"> </w:t>
          </w:r>
          <w:r w:rsidRPr="00114FCC">
            <w:rPr>
              <w:rFonts w:ascii="Segoe UI" w:hAnsi="Segoe UI" w:cs="Segoe UI"/>
              <w:b/>
              <w:bCs/>
              <w:sz w:val="22"/>
            </w:rPr>
            <w:t>7</w:t>
          </w:r>
          <w:r w:rsidRPr="00114FCC">
            <w:rPr>
              <w:rFonts w:ascii="Segoe UI" w:hAnsi="Segoe UI" w:cs="Segoe UI"/>
              <w:sz w:val="22"/>
            </w:rPr>
            <w:t>, 7430 (2017).</w:t>
          </w:r>
        </w:p>
        <w:p w14:paraId="0C93C1CB"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6. Ohno, S., Tang, R., Toprasertpong, K., Takagi, S. &amp; Takenaka, M. Si Microring Resonator Crossbar Array for On-Chip Inference and Training of the Optical Neural Network. </w:t>
          </w:r>
          <w:r w:rsidRPr="00114FCC">
            <w:rPr>
              <w:rFonts w:ascii="Segoe UI" w:hAnsi="Segoe UI" w:cs="Segoe UI"/>
              <w:i/>
              <w:iCs/>
              <w:sz w:val="22"/>
            </w:rPr>
            <w:t>ACS Photonics</w:t>
          </w:r>
          <w:r w:rsidRPr="00114FCC">
            <w:rPr>
              <w:rFonts w:ascii="Segoe UI" w:hAnsi="Segoe UI" w:cs="Segoe UI"/>
              <w:sz w:val="22"/>
            </w:rPr>
            <w:t xml:space="preserve"> </w:t>
          </w:r>
          <w:r w:rsidRPr="00114FCC">
            <w:rPr>
              <w:rFonts w:ascii="Segoe UI" w:hAnsi="Segoe UI" w:cs="Segoe UI"/>
              <w:b/>
              <w:bCs/>
              <w:sz w:val="22"/>
            </w:rPr>
            <w:t>9</w:t>
          </w:r>
          <w:r w:rsidRPr="00114FCC">
            <w:rPr>
              <w:rFonts w:ascii="Segoe UI" w:hAnsi="Segoe UI" w:cs="Segoe UI"/>
              <w:sz w:val="22"/>
            </w:rPr>
            <w:t>, 2614–2622 (2022).</w:t>
          </w:r>
        </w:p>
        <w:p w14:paraId="1B7E5241"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7. Geler-Kremer, J. </w:t>
          </w:r>
          <w:r w:rsidRPr="00114FCC">
            <w:rPr>
              <w:rFonts w:ascii="Segoe UI" w:hAnsi="Segoe UI" w:cs="Segoe UI"/>
              <w:i/>
              <w:iCs/>
              <w:sz w:val="22"/>
            </w:rPr>
            <w:t>et al.</w:t>
          </w:r>
          <w:r w:rsidRPr="00114FCC">
            <w:rPr>
              <w:rFonts w:ascii="Segoe UI" w:hAnsi="Segoe UI" w:cs="Segoe UI"/>
              <w:sz w:val="22"/>
            </w:rPr>
            <w:t xml:space="preserve"> A ferroelectric multilevel non-volatile photonic phase shifter. </w:t>
          </w:r>
          <w:r w:rsidRPr="00114FCC">
            <w:rPr>
              <w:rFonts w:ascii="Segoe UI" w:hAnsi="Segoe UI" w:cs="Segoe UI"/>
              <w:i/>
              <w:iCs/>
              <w:sz w:val="22"/>
            </w:rPr>
            <w:t>Nat. Photonics</w:t>
          </w:r>
          <w:r w:rsidRPr="00114FCC">
            <w:rPr>
              <w:rFonts w:ascii="Segoe UI" w:hAnsi="Segoe UI" w:cs="Segoe UI"/>
              <w:sz w:val="22"/>
            </w:rPr>
            <w:t xml:space="preserve"> </w:t>
          </w:r>
          <w:r w:rsidRPr="00114FCC">
            <w:rPr>
              <w:rFonts w:ascii="Segoe UI" w:hAnsi="Segoe UI" w:cs="Segoe UI"/>
              <w:b/>
              <w:bCs/>
              <w:sz w:val="22"/>
            </w:rPr>
            <w:t>16</w:t>
          </w:r>
          <w:r w:rsidRPr="00114FCC">
            <w:rPr>
              <w:rFonts w:ascii="Segoe UI" w:hAnsi="Segoe UI" w:cs="Segoe UI"/>
              <w:sz w:val="22"/>
            </w:rPr>
            <w:t>, 491–497 (2022).</w:t>
          </w:r>
        </w:p>
        <w:p w14:paraId="5826425B"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8. Feldmann, J. </w:t>
          </w:r>
          <w:r w:rsidRPr="00114FCC">
            <w:rPr>
              <w:rFonts w:ascii="Segoe UI" w:hAnsi="Segoe UI" w:cs="Segoe UI"/>
              <w:i/>
              <w:iCs/>
              <w:sz w:val="22"/>
            </w:rPr>
            <w:t>et al.</w:t>
          </w:r>
          <w:r w:rsidRPr="00114FCC">
            <w:rPr>
              <w:rFonts w:ascii="Segoe UI" w:hAnsi="Segoe UI" w:cs="Segoe UI"/>
              <w:sz w:val="22"/>
            </w:rPr>
            <w:t xml:space="preserve"> Parallel convolutional processing using an integrated photonic tensor core. </w:t>
          </w:r>
          <w:r w:rsidRPr="00114FCC">
            <w:rPr>
              <w:rFonts w:ascii="Segoe UI" w:hAnsi="Segoe UI" w:cs="Segoe UI"/>
              <w:i/>
              <w:iCs/>
              <w:sz w:val="22"/>
            </w:rPr>
            <w:t>Nature</w:t>
          </w:r>
          <w:r w:rsidRPr="00114FCC">
            <w:rPr>
              <w:rFonts w:ascii="Segoe UI" w:hAnsi="Segoe UI" w:cs="Segoe UI"/>
              <w:sz w:val="22"/>
            </w:rPr>
            <w:t xml:space="preserve"> </w:t>
          </w:r>
          <w:r w:rsidRPr="00114FCC">
            <w:rPr>
              <w:rFonts w:ascii="Segoe UI" w:hAnsi="Segoe UI" w:cs="Segoe UI"/>
              <w:b/>
              <w:bCs/>
              <w:sz w:val="22"/>
            </w:rPr>
            <w:t>589</w:t>
          </w:r>
          <w:r w:rsidRPr="00114FCC">
            <w:rPr>
              <w:rFonts w:ascii="Segoe UI" w:hAnsi="Segoe UI" w:cs="Segoe UI"/>
              <w:sz w:val="22"/>
            </w:rPr>
            <w:t>, 52–58 (2020).</w:t>
          </w:r>
        </w:p>
        <w:p w14:paraId="4ECC867B"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9. Feldmann, J., Youngblood, N., Wright, C. D., Bhaskaran, H. &amp; Pernice, W. H. P. All-optical spiking neurosynaptic networks with self-learning capabilities. </w:t>
          </w:r>
          <w:r w:rsidRPr="00114FCC">
            <w:rPr>
              <w:rFonts w:ascii="Segoe UI" w:hAnsi="Segoe UI" w:cs="Segoe UI"/>
              <w:i/>
              <w:iCs/>
              <w:sz w:val="22"/>
            </w:rPr>
            <w:t>Nature</w:t>
          </w:r>
          <w:r w:rsidRPr="00114FCC">
            <w:rPr>
              <w:rFonts w:ascii="Segoe UI" w:hAnsi="Segoe UI" w:cs="Segoe UI"/>
              <w:sz w:val="22"/>
            </w:rPr>
            <w:t xml:space="preserve"> </w:t>
          </w:r>
          <w:r w:rsidRPr="00114FCC">
            <w:rPr>
              <w:rFonts w:ascii="Segoe UI" w:hAnsi="Segoe UI" w:cs="Segoe UI"/>
              <w:b/>
              <w:bCs/>
              <w:sz w:val="22"/>
            </w:rPr>
            <w:t>569</w:t>
          </w:r>
          <w:r w:rsidRPr="00114FCC">
            <w:rPr>
              <w:rFonts w:ascii="Segoe UI" w:hAnsi="Segoe UI" w:cs="Segoe UI"/>
              <w:sz w:val="22"/>
            </w:rPr>
            <w:t>, 208–214 (2019).</w:t>
          </w:r>
        </w:p>
        <w:p w14:paraId="17500C54"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10. Wuttig, M., Bhaskaran, H. &amp; Taubner, T. Phase-change materials for non-volatile photonic applications. </w:t>
          </w:r>
          <w:r w:rsidRPr="00114FCC">
            <w:rPr>
              <w:rFonts w:ascii="Segoe UI" w:hAnsi="Segoe UI" w:cs="Segoe UI"/>
              <w:i/>
              <w:iCs/>
              <w:sz w:val="22"/>
            </w:rPr>
            <w:t>Nat. Photonics</w:t>
          </w:r>
          <w:r w:rsidRPr="00114FCC">
            <w:rPr>
              <w:rFonts w:ascii="Segoe UI" w:hAnsi="Segoe UI" w:cs="Segoe UI"/>
              <w:sz w:val="22"/>
            </w:rPr>
            <w:t xml:space="preserve"> </w:t>
          </w:r>
          <w:r w:rsidRPr="00114FCC">
            <w:rPr>
              <w:rFonts w:ascii="Segoe UI" w:hAnsi="Segoe UI" w:cs="Segoe UI"/>
              <w:b/>
              <w:bCs/>
              <w:sz w:val="22"/>
            </w:rPr>
            <w:t>11</w:t>
          </w:r>
          <w:r w:rsidRPr="00114FCC">
            <w:rPr>
              <w:rFonts w:ascii="Segoe UI" w:hAnsi="Segoe UI" w:cs="Segoe UI"/>
              <w:sz w:val="22"/>
            </w:rPr>
            <w:t>, 465–476 (2017).</w:t>
          </w:r>
        </w:p>
        <w:p w14:paraId="74F5BEB7"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11. Yu, X. </w:t>
          </w:r>
          <w:r w:rsidRPr="00114FCC">
            <w:rPr>
              <w:rFonts w:ascii="Segoe UI" w:hAnsi="Segoe UI" w:cs="Segoe UI"/>
              <w:i/>
              <w:iCs/>
              <w:sz w:val="22"/>
            </w:rPr>
            <w:t>et al.</w:t>
          </w:r>
          <w:r w:rsidRPr="00114FCC">
            <w:rPr>
              <w:rFonts w:ascii="Segoe UI" w:hAnsi="Segoe UI" w:cs="Segoe UI"/>
              <w:sz w:val="22"/>
            </w:rPr>
            <w:t xml:space="preserve"> Parallel optical computing capable of 100-wavelength multiplexing. </w:t>
          </w:r>
          <w:r w:rsidRPr="00114FCC">
            <w:rPr>
              <w:rFonts w:ascii="Segoe UI" w:hAnsi="Segoe UI" w:cs="Segoe UI"/>
              <w:i/>
              <w:iCs/>
              <w:sz w:val="22"/>
            </w:rPr>
            <w:t>eLight</w:t>
          </w:r>
          <w:r w:rsidRPr="00114FCC">
            <w:rPr>
              <w:rFonts w:ascii="Segoe UI" w:hAnsi="Segoe UI" w:cs="Segoe UI"/>
              <w:sz w:val="22"/>
            </w:rPr>
            <w:t xml:space="preserve"> </w:t>
          </w:r>
          <w:r w:rsidRPr="00114FCC">
            <w:rPr>
              <w:rFonts w:ascii="Segoe UI" w:hAnsi="Segoe UI" w:cs="Segoe UI"/>
              <w:b/>
              <w:bCs/>
              <w:sz w:val="22"/>
            </w:rPr>
            <w:t>5</w:t>
          </w:r>
          <w:r w:rsidRPr="00114FCC">
            <w:rPr>
              <w:rFonts w:ascii="Segoe UI" w:hAnsi="Segoe UI" w:cs="Segoe UI"/>
              <w:sz w:val="22"/>
            </w:rPr>
            <w:t>, 10 (2025).</w:t>
          </w:r>
        </w:p>
        <w:p w14:paraId="12A26845"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12. Tang, S., Chen, C., Qin, Q. &amp; Liu, X. Reconfigurable Integrated Photonic Unitary Neural Networks With Phase Encoding Enabled by In-Situ Training. </w:t>
          </w:r>
          <w:r w:rsidRPr="00114FCC">
            <w:rPr>
              <w:rFonts w:ascii="Segoe UI" w:hAnsi="Segoe UI" w:cs="Segoe UI"/>
              <w:i/>
              <w:iCs/>
              <w:sz w:val="22"/>
            </w:rPr>
            <w:t>IEEE Photonics J.</w:t>
          </w:r>
          <w:r w:rsidRPr="00114FCC">
            <w:rPr>
              <w:rFonts w:ascii="Segoe UI" w:hAnsi="Segoe UI" w:cs="Segoe UI"/>
              <w:sz w:val="22"/>
            </w:rPr>
            <w:t xml:space="preserve"> </w:t>
          </w:r>
          <w:r w:rsidRPr="00114FCC">
            <w:rPr>
              <w:rFonts w:ascii="Segoe UI" w:hAnsi="Segoe UI" w:cs="Segoe UI"/>
              <w:b/>
              <w:bCs/>
              <w:sz w:val="22"/>
            </w:rPr>
            <w:t>16</w:t>
          </w:r>
          <w:r w:rsidRPr="00114FCC">
            <w:rPr>
              <w:rFonts w:ascii="Segoe UI" w:hAnsi="Segoe UI" w:cs="Segoe UI"/>
              <w:sz w:val="22"/>
            </w:rPr>
            <w:t>, 1–11 (2024).</w:t>
          </w:r>
        </w:p>
        <w:p w14:paraId="7B86E738"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13. Bandyopadhyay, S. </w:t>
          </w:r>
          <w:r w:rsidRPr="00114FCC">
            <w:rPr>
              <w:rFonts w:ascii="Segoe UI" w:hAnsi="Segoe UI" w:cs="Segoe UI"/>
              <w:i/>
              <w:iCs/>
              <w:sz w:val="22"/>
            </w:rPr>
            <w:t>et al.</w:t>
          </w:r>
          <w:r w:rsidRPr="00114FCC">
            <w:rPr>
              <w:rFonts w:ascii="Segoe UI" w:hAnsi="Segoe UI" w:cs="Segoe UI"/>
              <w:sz w:val="22"/>
            </w:rPr>
            <w:t xml:space="preserve"> Single-chip photonic deep neural network with forward-only training. </w:t>
          </w:r>
          <w:r w:rsidRPr="00114FCC">
            <w:rPr>
              <w:rFonts w:ascii="Segoe UI" w:hAnsi="Segoe UI" w:cs="Segoe UI"/>
              <w:i/>
              <w:iCs/>
              <w:sz w:val="22"/>
            </w:rPr>
            <w:t>Nat. Photonics</w:t>
          </w:r>
          <w:r w:rsidRPr="00114FCC">
            <w:rPr>
              <w:rFonts w:ascii="Segoe UI" w:hAnsi="Segoe UI" w:cs="Segoe UI"/>
              <w:sz w:val="22"/>
            </w:rPr>
            <w:t xml:space="preserve"> </w:t>
          </w:r>
          <w:r w:rsidRPr="00114FCC">
            <w:rPr>
              <w:rFonts w:ascii="Segoe UI" w:hAnsi="Segoe UI" w:cs="Segoe UI"/>
              <w:b/>
              <w:bCs/>
              <w:sz w:val="22"/>
            </w:rPr>
            <w:t>18</w:t>
          </w:r>
          <w:r w:rsidRPr="00114FCC">
            <w:rPr>
              <w:rFonts w:ascii="Segoe UI" w:hAnsi="Segoe UI" w:cs="Segoe UI"/>
              <w:sz w:val="22"/>
            </w:rPr>
            <w:t>, 1335–1343 (2024).</w:t>
          </w:r>
        </w:p>
        <w:p w14:paraId="01614C7A"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14. Zhang, H. </w:t>
          </w:r>
          <w:r w:rsidRPr="00114FCC">
            <w:rPr>
              <w:rFonts w:ascii="Segoe UI" w:hAnsi="Segoe UI" w:cs="Segoe UI"/>
              <w:i/>
              <w:iCs/>
              <w:sz w:val="22"/>
            </w:rPr>
            <w:t>et al.</w:t>
          </w:r>
          <w:r w:rsidRPr="00114FCC">
            <w:rPr>
              <w:rFonts w:ascii="Segoe UI" w:hAnsi="Segoe UI" w:cs="Segoe UI"/>
              <w:sz w:val="22"/>
            </w:rPr>
            <w:t xml:space="preserve"> An optical neural chip for implementing complex-valued neural network. </w:t>
          </w:r>
          <w:r w:rsidRPr="00114FCC">
            <w:rPr>
              <w:rFonts w:ascii="Segoe UI" w:hAnsi="Segoe UI" w:cs="Segoe UI"/>
              <w:i/>
              <w:iCs/>
              <w:sz w:val="22"/>
            </w:rPr>
            <w:t>Nat. Commun.</w:t>
          </w:r>
          <w:r w:rsidRPr="00114FCC">
            <w:rPr>
              <w:rFonts w:ascii="Segoe UI" w:hAnsi="Segoe UI" w:cs="Segoe UI"/>
              <w:sz w:val="22"/>
            </w:rPr>
            <w:t xml:space="preserve"> </w:t>
          </w:r>
          <w:r w:rsidRPr="00114FCC">
            <w:rPr>
              <w:rFonts w:ascii="Segoe UI" w:hAnsi="Segoe UI" w:cs="Segoe UI"/>
              <w:b/>
              <w:bCs/>
              <w:sz w:val="22"/>
            </w:rPr>
            <w:t>12</w:t>
          </w:r>
          <w:r w:rsidRPr="00114FCC">
            <w:rPr>
              <w:rFonts w:ascii="Segoe UI" w:hAnsi="Segoe UI" w:cs="Segoe UI"/>
              <w:sz w:val="22"/>
            </w:rPr>
            <w:t>, 457 (2021).</w:t>
          </w:r>
        </w:p>
        <w:p w14:paraId="0CBFA4FD"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lastRenderedPageBreak/>
            <w:t xml:space="preserve">15. Tang, R., Tanomura, R., Tanemura, T. &amp; Nakano, Y. Ten-Port Unitary Optical Processor on a Silicon Photonic Chip. </w:t>
          </w:r>
          <w:r w:rsidRPr="00114FCC">
            <w:rPr>
              <w:rFonts w:ascii="Segoe UI" w:hAnsi="Segoe UI" w:cs="Segoe UI"/>
              <w:i/>
              <w:iCs/>
              <w:sz w:val="22"/>
            </w:rPr>
            <w:t>ACS Photonics</w:t>
          </w:r>
          <w:r w:rsidRPr="00114FCC">
            <w:rPr>
              <w:rFonts w:ascii="Segoe UI" w:hAnsi="Segoe UI" w:cs="Segoe UI"/>
              <w:sz w:val="22"/>
            </w:rPr>
            <w:t xml:space="preserve"> </w:t>
          </w:r>
          <w:r w:rsidRPr="00114FCC">
            <w:rPr>
              <w:rFonts w:ascii="Segoe UI" w:hAnsi="Segoe UI" w:cs="Segoe UI"/>
              <w:b/>
              <w:bCs/>
              <w:sz w:val="22"/>
            </w:rPr>
            <w:t>8</w:t>
          </w:r>
          <w:r w:rsidRPr="00114FCC">
            <w:rPr>
              <w:rFonts w:ascii="Segoe UI" w:hAnsi="Segoe UI" w:cs="Segoe UI"/>
              <w:sz w:val="22"/>
            </w:rPr>
            <w:t>, 2074–2080 (2021).</w:t>
          </w:r>
        </w:p>
        <w:p w14:paraId="2F292806"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16. Shen, Y. </w:t>
          </w:r>
          <w:r w:rsidRPr="00114FCC">
            <w:rPr>
              <w:rFonts w:ascii="Segoe UI" w:hAnsi="Segoe UI" w:cs="Segoe UI"/>
              <w:i/>
              <w:iCs/>
              <w:sz w:val="22"/>
            </w:rPr>
            <w:t>et al.</w:t>
          </w:r>
          <w:r w:rsidRPr="00114FCC">
            <w:rPr>
              <w:rFonts w:ascii="Segoe UI" w:hAnsi="Segoe UI" w:cs="Segoe UI"/>
              <w:sz w:val="22"/>
            </w:rPr>
            <w:t xml:space="preserve"> Deep learning with coherent nanophotonic circuits. </w:t>
          </w:r>
          <w:r w:rsidRPr="00114FCC">
            <w:rPr>
              <w:rFonts w:ascii="Segoe UI" w:hAnsi="Segoe UI" w:cs="Segoe UI"/>
              <w:i/>
              <w:iCs/>
              <w:sz w:val="22"/>
            </w:rPr>
            <w:t>Nat. Photonics</w:t>
          </w:r>
          <w:r w:rsidRPr="00114FCC">
            <w:rPr>
              <w:rFonts w:ascii="Segoe UI" w:hAnsi="Segoe UI" w:cs="Segoe UI"/>
              <w:sz w:val="22"/>
            </w:rPr>
            <w:t xml:space="preserve"> </w:t>
          </w:r>
          <w:r w:rsidRPr="00114FCC">
            <w:rPr>
              <w:rFonts w:ascii="Segoe UI" w:hAnsi="Segoe UI" w:cs="Segoe UI"/>
              <w:b/>
              <w:bCs/>
              <w:sz w:val="22"/>
            </w:rPr>
            <w:t>11</w:t>
          </w:r>
          <w:r w:rsidRPr="00114FCC">
            <w:rPr>
              <w:rFonts w:ascii="Segoe UI" w:hAnsi="Segoe UI" w:cs="Segoe UI"/>
              <w:sz w:val="22"/>
            </w:rPr>
            <w:t>, 441–446 (2017).</w:t>
          </w:r>
        </w:p>
        <w:p w14:paraId="58F1304D"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17. Hua, S. </w:t>
          </w:r>
          <w:r w:rsidRPr="00114FCC">
            <w:rPr>
              <w:rFonts w:ascii="Segoe UI" w:hAnsi="Segoe UI" w:cs="Segoe UI"/>
              <w:i/>
              <w:iCs/>
              <w:sz w:val="22"/>
            </w:rPr>
            <w:t>et al.</w:t>
          </w:r>
          <w:r w:rsidRPr="00114FCC">
            <w:rPr>
              <w:rFonts w:ascii="Segoe UI" w:hAnsi="Segoe UI" w:cs="Segoe UI"/>
              <w:sz w:val="22"/>
            </w:rPr>
            <w:t xml:space="preserve"> An integrated large-scale photonic accelerator with ultralow latency. </w:t>
          </w:r>
          <w:r w:rsidRPr="00114FCC">
            <w:rPr>
              <w:rFonts w:ascii="Segoe UI" w:hAnsi="Segoe UI" w:cs="Segoe UI"/>
              <w:i/>
              <w:iCs/>
              <w:sz w:val="22"/>
            </w:rPr>
            <w:t>Nature</w:t>
          </w:r>
          <w:r w:rsidRPr="00114FCC">
            <w:rPr>
              <w:rFonts w:ascii="Segoe UI" w:hAnsi="Segoe UI" w:cs="Segoe UI"/>
              <w:sz w:val="22"/>
            </w:rPr>
            <w:t xml:space="preserve"> </w:t>
          </w:r>
          <w:r w:rsidRPr="00114FCC">
            <w:rPr>
              <w:rFonts w:ascii="Segoe UI" w:hAnsi="Segoe UI" w:cs="Segoe UI"/>
              <w:b/>
              <w:bCs/>
              <w:sz w:val="22"/>
            </w:rPr>
            <w:t>640</w:t>
          </w:r>
          <w:r w:rsidRPr="00114FCC">
            <w:rPr>
              <w:rFonts w:ascii="Segoe UI" w:hAnsi="Segoe UI" w:cs="Segoe UI"/>
              <w:sz w:val="22"/>
            </w:rPr>
            <w:t>, 361–367 (2025).</w:t>
          </w:r>
        </w:p>
        <w:p w14:paraId="37D6F26C" w14:textId="77777777" w:rsidR="00E855F6" w:rsidRPr="00114FCC" w:rsidRDefault="00E855F6" w:rsidP="00E855F6">
          <w:pPr>
            <w:pStyle w:val="Bibliography1"/>
            <w:divId w:val="1149057811"/>
            <w:rPr>
              <w:rFonts w:ascii="Segoe UI" w:hAnsi="Segoe UI" w:cs="Segoe UI"/>
              <w:sz w:val="22"/>
            </w:rPr>
          </w:pPr>
          <w:r w:rsidRPr="00114FCC">
            <w:rPr>
              <w:rFonts w:ascii="Segoe UI" w:hAnsi="Segoe UI" w:cs="Segoe UI"/>
              <w:sz w:val="22"/>
            </w:rPr>
            <w:t xml:space="preserve">18. Tang, R. </w:t>
          </w:r>
          <w:r w:rsidRPr="00114FCC">
            <w:rPr>
              <w:rFonts w:ascii="Segoe UI" w:hAnsi="Segoe UI" w:cs="Segoe UI"/>
              <w:i/>
              <w:iCs/>
              <w:sz w:val="22"/>
            </w:rPr>
            <w:t>et al.</w:t>
          </w:r>
          <w:r w:rsidRPr="00114FCC">
            <w:rPr>
              <w:rFonts w:ascii="Segoe UI" w:hAnsi="Segoe UI" w:cs="Segoe UI"/>
              <w:sz w:val="22"/>
            </w:rPr>
            <w:t xml:space="preserve"> Waveguide-multiplexed photonic matrix–vector multiplication processor using multiport photodetectors. </w:t>
          </w:r>
          <w:r w:rsidRPr="00114FCC">
            <w:rPr>
              <w:rFonts w:ascii="Segoe UI" w:hAnsi="Segoe UI" w:cs="Segoe UI"/>
              <w:i/>
              <w:iCs/>
              <w:sz w:val="22"/>
            </w:rPr>
            <w:t>Optica</w:t>
          </w:r>
          <w:r w:rsidRPr="00114FCC">
            <w:rPr>
              <w:rFonts w:ascii="Segoe UI" w:hAnsi="Segoe UI" w:cs="Segoe UI"/>
              <w:sz w:val="22"/>
            </w:rPr>
            <w:t xml:space="preserve"> </w:t>
          </w:r>
          <w:r w:rsidRPr="00114FCC">
            <w:rPr>
              <w:rFonts w:ascii="Segoe UI" w:hAnsi="Segoe UI" w:cs="Segoe UI"/>
              <w:b/>
              <w:bCs/>
              <w:sz w:val="22"/>
            </w:rPr>
            <w:t>12</w:t>
          </w:r>
          <w:r w:rsidRPr="00114FCC">
            <w:rPr>
              <w:rFonts w:ascii="Segoe UI" w:hAnsi="Segoe UI" w:cs="Segoe UI"/>
              <w:sz w:val="22"/>
            </w:rPr>
            <w:t>, 812 (2025).</w:t>
          </w:r>
        </w:p>
        <w:p w14:paraId="0F993F4E" w14:textId="4C1EDF5E" w:rsidR="00FC24A9" w:rsidRPr="00427C29" w:rsidRDefault="00E855F6" w:rsidP="00A52B55">
          <w:pPr>
            <w:pStyle w:val="11"/>
            <w:spacing w:before="0" w:beforeAutospacing="0" w:after="0" w:afterAutospacing="0"/>
            <w:divId w:val="1149057811"/>
            <w:rPr>
              <w:rFonts w:ascii="Segoe UI" w:hAnsi="Segoe UI" w:cs="Segoe UI"/>
              <w:sz w:val="22"/>
              <w:szCs w:val="22"/>
            </w:rPr>
          </w:pPr>
          <w:r w:rsidRPr="00114FCC">
            <w:rPr>
              <w:rFonts w:ascii="Segoe UI" w:hAnsi="Segoe UI" w:cs="Segoe UI"/>
              <w:sz w:val="22"/>
            </w:rPr>
            <w:t> </w:t>
          </w:r>
        </w:p>
      </w:sdtContent>
    </w:sdt>
    <w:sectPr w:rsidR="00FC24A9" w:rsidRPr="00427C29" w:rsidSect="00114FCC">
      <w:pgSz w:w="12240" w:h="15840" w:code="1"/>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9DEA1" w14:textId="77777777" w:rsidR="0042700C" w:rsidRDefault="0042700C" w:rsidP="00D8166D">
      <w:r>
        <w:separator/>
      </w:r>
    </w:p>
  </w:endnote>
  <w:endnote w:type="continuationSeparator" w:id="0">
    <w:p w14:paraId="2830A843" w14:textId="77777777" w:rsidR="0042700C" w:rsidRDefault="0042700C" w:rsidP="00D8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4F210" w14:textId="77777777" w:rsidR="0042700C" w:rsidRDefault="0042700C" w:rsidP="00D8166D">
      <w:r>
        <w:separator/>
      </w:r>
    </w:p>
  </w:footnote>
  <w:footnote w:type="continuationSeparator" w:id="0">
    <w:p w14:paraId="37B12C45" w14:textId="77777777" w:rsidR="0042700C" w:rsidRDefault="0042700C" w:rsidP="00D816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9B6"/>
    <w:rsid w:val="00005455"/>
    <w:rsid w:val="0001555D"/>
    <w:rsid w:val="000408EF"/>
    <w:rsid w:val="00061F37"/>
    <w:rsid w:val="00070195"/>
    <w:rsid w:val="00080F33"/>
    <w:rsid w:val="000A7438"/>
    <w:rsid w:val="000D0719"/>
    <w:rsid w:val="000D5E28"/>
    <w:rsid w:val="000E5CAF"/>
    <w:rsid w:val="00105255"/>
    <w:rsid w:val="001126F8"/>
    <w:rsid w:val="00114FCC"/>
    <w:rsid w:val="0015223D"/>
    <w:rsid w:val="001564B1"/>
    <w:rsid w:val="00167040"/>
    <w:rsid w:val="00174385"/>
    <w:rsid w:val="00181F30"/>
    <w:rsid w:val="001824B5"/>
    <w:rsid w:val="001B5247"/>
    <w:rsid w:val="001C5486"/>
    <w:rsid w:val="001C588D"/>
    <w:rsid w:val="001D3BDC"/>
    <w:rsid w:val="00207D74"/>
    <w:rsid w:val="00211EAF"/>
    <w:rsid w:val="002155E8"/>
    <w:rsid w:val="00217376"/>
    <w:rsid w:val="00245823"/>
    <w:rsid w:val="00255595"/>
    <w:rsid w:val="002673CA"/>
    <w:rsid w:val="0027419C"/>
    <w:rsid w:val="002A3CAE"/>
    <w:rsid w:val="00316BCF"/>
    <w:rsid w:val="0032242A"/>
    <w:rsid w:val="00322B97"/>
    <w:rsid w:val="0034136C"/>
    <w:rsid w:val="00360768"/>
    <w:rsid w:val="003711AC"/>
    <w:rsid w:val="003A7EB8"/>
    <w:rsid w:val="003C1B3A"/>
    <w:rsid w:val="003C4C2C"/>
    <w:rsid w:val="003E67AE"/>
    <w:rsid w:val="004245AB"/>
    <w:rsid w:val="0042700C"/>
    <w:rsid w:val="00427C29"/>
    <w:rsid w:val="00436E1C"/>
    <w:rsid w:val="00457A0C"/>
    <w:rsid w:val="00462332"/>
    <w:rsid w:val="00477509"/>
    <w:rsid w:val="004C75F4"/>
    <w:rsid w:val="00525CE9"/>
    <w:rsid w:val="00531195"/>
    <w:rsid w:val="00531ED4"/>
    <w:rsid w:val="0056718F"/>
    <w:rsid w:val="00577ABF"/>
    <w:rsid w:val="005859B6"/>
    <w:rsid w:val="00591CE6"/>
    <w:rsid w:val="005D5883"/>
    <w:rsid w:val="005E5AD5"/>
    <w:rsid w:val="005E5F78"/>
    <w:rsid w:val="005F290E"/>
    <w:rsid w:val="005F6EAC"/>
    <w:rsid w:val="00631656"/>
    <w:rsid w:val="006835FB"/>
    <w:rsid w:val="00685869"/>
    <w:rsid w:val="006B7BA2"/>
    <w:rsid w:val="006C0EB0"/>
    <w:rsid w:val="006F1483"/>
    <w:rsid w:val="006F36AC"/>
    <w:rsid w:val="00700B7C"/>
    <w:rsid w:val="00717988"/>
    <w:rsid w:val="00737E15"/>
    <w:rsid w:val="00752204"/>
    <w:rsid w:val="00767279"/>
    <w:rsid w:val="00774C9E"/>
    <w:rsid w:val="007768FC"/>
    <w:rsid w:val="007953FD"/>
    <w:rsid w:val="007B0674"/>
    <w:rsid w:val="007C1614"/>
    <w:rsid w:val="007F10E6"/>
    <w:rsid w:val="007F375E"/>
    <w:rsid w:val="007F65A3"/>
    <w:rsid w:val="008003F4"/>
    <w:rsid w:val="00810EBA"/>
    <w:rsid w:val="00812F99"/>
    <w:rsid w:val="008964F1"/>
    <w:rsid w:val="008A26AE"/>
    <w:rsid w:val="008C7036"/>
    <w:rsid w:val="008F51D2"/>
    <w:rsid w:val="00912C1F"/>
    <w:rsid w:val="009319EE"/>
    <w:rsid w:val="00964DAC"/>
    <w:rsid w:val="00984FD4"/>
    <w:rsid w:val="009A550E"/>
    <w:rsid w:val="009A693A"/>
    <w:rsid w:val="009C35CA"/>
    <w:rsid w:val="009C3FA4"/>
    <w:rsid w:val="009C69BB"/>
    <w:rsid w:val="00A1292D"/>
    <w:rsid w:val="00A52B55"/>
    <w:rsid w:val="00A6424A"/>
    <w:rsid w:val="00A93797"/>
    <w:rsid w:val="00AA6932"/>
    <w:rsid w:val="00B11C14"/>
    <w:rsid w:val="00B2285D"/>
    <w:rsid w:val="00B41BB6"/>
    <w:rsid w:val="00B474AA"/>
    <w:rsid w:val="00B94CEC"/>
    <w:rsid w:val="00BA5E4A"/>
    <w:rsid w:val="00BE48CF"/>
    <w:rsid w:val="00BE74B5"/>
    <w:rsid w:val="00BF0829"/>
    <w:rsid w:val="00C14A50"/>
    <w:rsid w:val="00C25897"/>
    <w:rsid w:val="00C61D18"/>
    <w:rsid w:val="00C64080"/>
    <w:rsid w:val="00C7063E"/>
    <w:rsid w:val="00C75717"/>
    <w:rsid w:val="00C75C5D"/>
    <w:rsid w:val="00C8144F"/>
    <w:rsid w:val="00C83C54"/>
    <w:rsid w:val="00C86302"/>
    <w:rsid w:val="00C87918"/>
    <w:rsid w:val="00CA165F"/>
    <w:rsid w:val="00CD62DE"/>
    <w:rsid w:val="00CE2458"/>
    <w:rsid w:val="00CE3697"/>
    <w:rsid w:val="00D13E9C"/>
    <w:rsid w:val="00D30419"/>
    <w:rsid w:val="00D40442"/>
    <w:rsid w:val="00D57403"/>
    <w:rsid w:val="00D726E8"/>
    <w:rsid w:val="00D74B9B"/>
    <w:rsid w:val="00D8166D"/>
    <w:rsid w:val="00DA672B"/>
    <w:rsid w:val="00DB2482"/>
    <w:rsid w:val="00DB344F"/>
    <w:rsid w:val="00DC0AFD"/>
    <w:rsid w:val="00DD3AA7"/>
    <w:rsid w:val="00DE362C"/>
    <w:rsid w:val="00E22498"/>
    <w:rsid w:val="00E337EF"/>
    <w:rsid w:val="00E459EB"/>
    <w:rsid w:val="00E67DC8"/>
    <w:rsid w:val="00E76DF9"/>
    <w:rsid w:val="00E855F6"/>
    <w:rsid w:val="00EC38AA"/>
    <w:rsid w:val="00ED2E0E"/>
    <w:rsid w:val="00F050CC"/>
    <w:rsid w:val="00F155DC"/>
    <w:rsid w:val="00F25770"/>
    <w:rsid w:val="00F62A4E"/>
    <w:rsid w:val="00F66861"/>
    <w:rsid w:val="00F71367"/>
    <w:rsid w:val="00F941D7"/>
    <w:rsid w:val="00FA1E89"/>
    <w:rsid w:val="00FC24A9"/>
    <w:rsid w:val="00FE4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A4D34FC"/>
  <w15:chartTrackingRefBased/>
  <w15:docId w15:val="{66AA53E3-7B7C-4D47-BC17-A03D23E1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9B6"/>
    <w:pPr>
      <w:widowControl w:val="0"/>
      <w:jc w:val="both"/>
    </w:pPr>
    <w:rPr>
      <w:rFonts w:ascii="Century" w:hAnsi="Century" w:cs="Century"/>
      <w:kern w:val="0"/>
      <w:szCs w:val="21"/>
    </w:rPr>
  </w:style>
  <w:style w:type="paragraph" w:styleId="1">
    <w:name w:val="heading 1"/>
    <w:aliases w:val="Section 1"/>
    <w:next w:val="a"/>
    <w:link w:val="10"/>
    <w:uiPriority w:val="9"/>
    <w:qFormat/>
    <w:rsid w:val="007768FC"/>
    <w:pPr>
      <w:keepNext/>
      <w:keepLines/>
      <w:spacing w:before="280" w:after="80"/>
      <w:outlineLvl w:val="0"/>
    </w:pPr>
    <w:rPr>
      <w:rFonts w:ascii="Segoe UI" w:eastAsia="Segoe UI" w:hAnsi="Segoe UI" w:cstheme="majorBidi"/>
      <w:b/>
      <w:i/>
      <w:color w:val="000000" w:themeColor="text1"/>
      <w:sz w:val="22"/>
      <w:szCs w:val="32"/>
    </w:rPr>
  </w:style>
  <w:style w:type="paragraph" w:styleId="2">
    <w:name w:val="heading 2"/>
    <w:basedOn w:val="a"/>
    <w:next w:val="a"/>
    <w:link w:val="20"/>
    <w:uiPriority w:val="9"/>
    <w:semiHidden/>
    <w:unhideWhenUsed/>
    <w:qFormat/>
    <w:rsid w:val="005859B6"/>
    <w:pPr>
      <w:keepNext/>
      <w:keepLines/>
      <w:spacing w:before="160" w:after="80"/>
      <w:outlineLvl w:val="1"/>
    </w:pPr>
    <w:rPr>
      <w:rFonts w:asciiTheme="majorHAnsi" w:eastAsiaTheme="majorEastAsia" w:hAnsiTheme="majorHAnsi" w:cstheme="majorBidi"/>
      <w:color w:val="000000" w:themeColor="text1"/>
      <w:kern w:val="2"/>
      <w:sz w:val="28"/>
      <w:szCs w:val="28"/>
    </w:rPr>
  </w:style>
  <w:style w:type="paragraph" w:styleId="3">
    <w:name w:val="heading 3"/>
    <w:basedOn w:val="a"/>
    <w:next w:val="a"/>
    <w:link w:val="30"/>
    <w:uiPriority w:val="9"/>
    <w:semiHidden/>
    <w:unhideWhenUsed/>
    <w:qFormat/>
    <w:rsid w:val="005859B6"/>
    <w:pPr>
      <w:keepNext/>
      <w:keepLines/>
      <w:spacing w:before="160" w:after="80"/>
      <w:outlineLvl w:val="2"/>
    </w:pPr>
    <w:rPr>
      <w:rFonts w:asciiTheme="majorHAnsi" w:eastAsiaTheme="majorEastAsia" w:hAnsiTheme="majorHAnsi" w:cstheme="majorBidi"/>
      <w:color w:val="000000" w:themeColor="text1"/>
      <w:kern w:val="2"/>
      <w:sz w:val="24"/>
      <w:szCs w:val="24"/>
    </w:rPr>
  </w:style>
  <w:style w:type="paragraph" w:styleId="4">
    <w:name w:val="heading 4"/>
    <w:basedOn w:val="a"/>
    <w:next w:val="a"/>
    <w:link w:val="40"/>
    <w:uiPriority w:val="9"/>
    <w:semiHidden/>
    <w:unhideWhenUsed/>
    <w:qFormat/>
    <w:rsid w:val="005859B6"/>
    <w:pPr>
      <w:keepNext/>
      <w:keepLines/>
      <w:spacing w:before="80" w:after="40"/>
      <w:outlineLvl w:val="3"/>
    </w:pPr>
    <w:rPr>
      <w:rFonts w:asciiTheme="majorHAnsi" w:eastAsiaTheme="majorEastAsia" w:hAnsiTheme="majorHAnsi" w:cstheme="majorBidi"/>
      <w:color w:val="000000" w:themeColor="text1"/>
      <w:kern w:val="2"/>
      <w:szCs w:val="22"/>
    </w:rPr>
  </w:style>
  <w:style w:type="paragraph" w:styleId="5">
    <w:name w:val="heading 5"/>
    <w:basedOn w:val="a"/>
    <w:next w:val="a"/>
    <w:link w:val="50"/>
    <w:uiPriority w:val="9"/>
    <w:semiHidden/>
    <w:unhideWhenUsed/>
    <w:qFormat/>
    <w:rsid w:val="005859B6"/>
    <w:pPr>
      <w:keepNext/>
      <w:keepLines/>
      <w:spacing w:before="80" w:after="40"/>
      <w:ind w:leftChars="100" w:left="100"/>
      <w:outlineLvl w:val="4"/>
    </w:pPr>
    <w:rPr>
      <w:rFonts w:asciiTheme="majorHAnsi" w:eastAsiaTheme="majorEastAsia" w:hAnsiTheme="majorHAnsi" w:cstheme="majorBidi"/>
      <w:color w:val="000000" w:themeColor="text1"/>
      <w:kern w:val="2"/>
      <w:szCs w:val="22"/>
    </w:rPr>
  </w:style>
  <w:style w:type="paragraph" w:styleId="6">
    <w:name w:val="heading 6"/>
    <w:basedOn w:val="a"/>
    <w:next w:val="a"/>
    <w:link w:val="60"/>
    <w:uiPriority w:val="9"/>
    <w:semiHidden/>
    <w:unhideWhenUsed/>
    <w:qFormat/>
    <w:rsid w:val="005859B6"/>
    <w:pPr>
      <w:keepNext/>
      <w:keepLines/>
      <w:spacing w:before="80" w:after="40"/>
      <w:ind w:leftChars="200" w:left="200"/>
      <w:outlineLvl w:val="5"/>
    </w:pPr>
    <w:rPr>
      <w:rFonts w:asciiTheme="majorHAnsi" w:eastAsiaTheme="majorEastAsia" w:hAnsiTheme="majorHAnsi" w:cstheme="majorBidi"/>
      <w:color w:val="000000" w:themeColor="text1"/>
      <w:kern w:val="2"/>
      <w:szCs w:val="22"/>
    </w:rPr>
  </w:style>
  <w:style w:type="paragraph" w:styleId="7">
    <w:name w:val="heading 7"/>
    <w:basedOn w:val="a"/>
    <w:next w:val="a"/>
    <w:link w:val="70"/>
    <w:uiPriority w:val="9"/>
    <w:semiHidden/>
    <w:unhideWhenUsed/>
    <w:qFormat/>
    <w:rsid w:val="005859B6"/>
    <w:pPr>
      <w:keepNext/>
      <w:keepLines/>
      <w:spacing w:before="80" w:after="40"/>
      <w:ind w:leftChars="300" w:left="300"/>
      <w:outlineLvl w:val="6"/>
    </w:pPr>
    <w:rPr>
      <w:rFonts w:asciiTheme="majorHAnsi" w:eastAsiaTheme="majorEastAsia" w:hAnsiTheme="majorHAnsi" w:cstheme="majorBidi"/>
      <w:color w:val="000000" w:themeColor="text1"/>
      <w:kern w:val="2"/>
      <w:szCs w:val="22"/>
    </w:rPr>
  </w:style>
  <w:style w:type="paragraph" w:styleId="8">
    <w:name w:val="heading 8"/>
    <w:basedOn w:val="a"/>
    <w:next w:val="a"/>
    <w:link w:val="80"/>
    <w:uiPriority w:val="9"/>
    <w:semiHidden/>
    <w:unhideWhenUsed/>
    <w:qFormat/>
    <w:rsid w:val="005859B6"/>
    <w:pPr>
      <w:keepNext/>
      <w:keepLines/>
      <w:spacing w:before="80" w:after="40"/>
      <w:ind w:leftChars="400" w:left="400"/>
      <w:outlineLvl w:val="7"/>
    </w:pPr>
    <w:rPr>
      <w:rFonts w:asciiTheme="majorHAnsi" w:eastAsiaTheme="majorEastAsia" w:hAnsiTheme="majorHAnsi" w:cstheme="majorBidi"/>
      <w:color w:val="000000" w:themeColor="text1"/>
      <w:kern w:val="2"/>
      <w:szCs w:val="22"/>
    </w:rPr>
  </w:style>
  <w:style w:type="paragraph" w:styleId="9">
    <w:name w:val="heading 9"/>
    <w:basedOn w:val="a"/>
    <w:next w:val="a"/>
    <w:link w:val="90"/>
    <w:uiPriority w:val="9"/>
    <w:semiHidden/>
    <w:unhideWhenUsed/>
    <w:qFormat/>
    <w:rsid w:val="005859B6"/>
    <w:pPr>
      <w:keepNext/>
      <w:keepLines/>
      <w:spacing w:before="80" w:after="40"/>
      <w:ind w:leftChars="500" w:left="500"/>
      <w:outlineLvl w:val="8"/>
    </w:pPr>
    <w:rPr>
      <w:rFonts w:asciiTheme="majorHAnsi" w:eastAsiaTheme="majorEastAsia" w:hAnsiTheme="majorHAnsi" w:cstheme="majorBidi"/>
      <w:color w:val="000000" w:themeColor="text1"/>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Section 1 (文字)"/>
    <w:basedOn w:val="a0"/>
    <w:link w:val="1"/>
    <w:uiPriority w:val="9"/>
    <w:rsid w:val="007768FC"/>
    <w:rPr>
      <w:rFonts w:ascii="Segoe UI" w:eastAsia="Segoe UI" w:hAnsi="Segoe UI" w:cstheme="majorBidi"/>
      <w:b/>
      <w:i/>
      <w:color w:val="000000" w:themeColor="text1"/>
      <w:sz w:val="22"/>
      <w:szCs w:val="32"/>
    </w:rPr>
  </w:style>
  <w:style w:type="character" w:customStyle="1" w:styleId="20">
    <w:name w:val="見出し 2 (文字)"/>
    <w:basedOn w:val="a0"/>
    <w:link w:val="2"/>
    <w:uiPriority w:val="9"/>
    <w:semiHidden/>
    <w:rsid w:val="005859B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859B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5859B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859B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859B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859B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859B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859B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859B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859B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859B6"/>
    <w:pPr>
      <w:numPr>
        <w:ilvl w:val="1"/>
      </w:numPr>
      <w:spacing w:after="160"/>
      <w:jc w:val="center"/>
    </w:pPr>
    <w:rPr>
      <w:rFonts w:asciiTheme="majorHAnsi" w:eastAsiaTheme="majorEastAsia" w:hAnsiTheme="majorHAnsi" w:cstheme="majorBidi"/>
      <w:color w:val="595959" w:themeColor="text1" w:themeTint="A6"/>
      <w:spacing w:val="15"/>
      <w:kern w:val="2"/>
      <w:sz w:val="28"/>
      <w:szCs w:val="28"/>
    </w:rPr>
  </w:style>
  <w:style w:type="character" w:customStyle="1" w:styleId="a6">
    <w:name w:val="副題 (文字)"/>
    <w:basedOn w:val="a0"/>
    <w:link w:val="a5"/>
    <w:uiPriority w:val="11"/>
    <w:rsid w:val="005859B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859B6"/>
    <w:pPr>
      <w:spacing w:before="160" w:after="160"/>
      <w:jc w:val="center"/>
    </w:pPr>
    <w:rPr>
      <w:rFonts w:asciiTheme="minorHAnsi" w:hAnsiTheme="minorHAnsi" w:cstheme="minorBidi"/>
      <w:i/>
      <w:iCs/>
      <w:color w:val="404040" w:themeColor="text1" w:themeTint="BF"/>
      <w:kern w:val="2"/>
      <w:szCs w:val="22"/>
    </w:rPr>
  </w:style>
  <w:style w:type="character" w:customStyle="1" w:styleId="a8">
    <w:name w:val="引用文 (文字)"/>
    <w:basedOn w:val="a0"/>
    <w:link w:val="a7"/>
    <w:uiPriority w:val="29"/>
    <w:rsid w:val="005859B6"/>
    <w:rPr>
      <w:i/>
      <w:iCs/>
      <w:color w:val="404040" w:themeColor="text1" w:themeTint="BF"/>
    </w:rPr>
  </w:style>
  <w:style w:type="paragraph" w:styleId="a9">
    <w:name w:val="List Paragraph"/>
    <w:basedOn w:val="a"/>
    <w:uiPriority w:val="34"/>
    <w:qFormat/>
    <w:rsid w:val="005859B6"/>
    <w:pPr>
      <w:ind w:left="720"/>
      <w:contextualSpacing/>
    </w:pPr>
    <w:rPr>
      <w:rFonts w:asciiTheme="minorHAnsi" w:hAnsiTheme="minorHAnsi" w:cstheme="minorBidi"/>
      <w:kern w:val="2"/>
      <w:szCs w:val="22"/>
    </w:rPr>
  </w:style>
  <w:style w:type="character" w:styleId="21">
    <w:name w:val="Intense Emphasis"/>
    <w:basedOn w:val="a0"/>
    <w:uiPriority w:val="21"/>
    <w:qFormat/>
    <w:rsid w:val="005859B6"/>
    <w:rPr>
      <w:i/>
      <w:iCs/>
      <w:color w:val="2F5496" w:themeColor="accent1" w:themeShade="BF"/>
    </w:rPr>
  </w:style>
  <w:style w:type="paragraph" w:styleId="22">
    <w:name w:val="Intense Quote"/>
    <w:basedOn w:val="a"/>
    <w:next w:val="a"/>
    <w:link w:val="23"/>
    <w:uiPriority w:val="30"/>
    <w:qFormat/>
    <w:rsid w:val="005859B6"/>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cstheme="minorBidi"/>
      <w:i/>
      <w:iCs/>
      <w:color w:val="2F5496" w:themeColor="accent1" w:themeShade="BF"/>
      <w:kern w:val="2"/>
      <w:szCs w:val="22"/>
    </w:rPr>
  </w:style>
  <w:style w:type="character" w:customStyle="1" w:styleId="23">
    <w:name w:val="引用文 2 (文字)"/>
    <w:basedOn w:val="a0"/>
    <w:link w:val="22"/>
    <w:uiPriority w:val="30"/>
    <w:rsid w:val="005859B6"/>
    <w:rPr>
      <w:i/>
      <w:iCs/>
      <w:color w:val="2F5496" w:themeColor="accent1" w:themeShade="BF"/>
    </w:rPr>
  </w:style>
  <w:style w:type="character" w:styleId="24">
    <w:name w:val="Intense Reference"/>
    <w:basedOn w:val="a0"/>
    <w:uiPriority w:val="32"/>
    <w:qFormat/>
    <w:rsid w:val="005859B6"/>
    <w:rPr>
      <w:b/>
      <w:bCs/>
      <w:smallCaps/>
      <w:color w:val="2F5496" w:themeColor="accent1" w:themeShade="BF"/>
      <w:spacing w:val="5"/>
    </w:rPr>
  </w:style>
  <w:style w:type="paragraph" w:styleId="Web">
    <w:name w:val="Normal (Web)"/>
    <w:basedOn w:val="a"/>
    <w:uiPriority w:val="99"/>
    <w:semiHidden/>
    <w:unhideWhenUsed/>
    <w:rsid w:val="005859B6"/>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a">
    <w:name w:val="annotation text"/>
    <w:basedOn w:val="a"/>
    <w:link w:val="ab"/>
    <w:uiPriority w:val="99"/>
    <w:unhideWhenUsed/>
    <w:rsid w:val="005859B6"/>
    <w:pPr>
      <w:jc w:val="left"/>
    </w:pPr>
  </w:style>
  <w:style w:type="character" w:customStyle="1" w:styleId="ab">
    <w:name w:val="コメント文字列 (文字)"/>
    <w:basedOn w:val="a0"/>
    <w:link w:val="aa"/>
    <w:uiPriority w:val="99"/>
    <w:rsid w:val="005859B6"/>
    <w:rPr>
      <w:rFonts w:ascii="Century" w:hAnsi="Century" w:cs="Century"/>
      <w:kern w:val="0"/>
      <w:szCs w:val="21"/>
    </w:rPr>
  </w:style>
  <w:style w:type="character" w:styleId="ac">
    <w:name w:val="annotation reference"/>
    <w:basedOn w:val="a0"/>
    <w:uiPriority w:val="99"/>
    <w:semiHidden/>
    <w:unhideWhenUsed/>
    <w:rsid w:val="005859B6"/>
    <w:rPr>
      <w:sz w:val="18"/>
      <w:szCs w:val="18"/>
    </w:rPr>
  </w:style>
  <w:style w:type="paragraph" w:styleId="ad">
    <w:name w:val="header"/>
    <w:basedOn w:val="a"/>
    <w:link w:val="ae"/>
    <w:uiPriority w:val="99"/>
    <w:unhideWhenUsed/>
    <w:rsid w:val="00D8166D"/>
    <w:pPr>
      <w:tabs>
        <w:tab w:val="center" w:pos="4252"/>
        <w:tab w:val="right" w:pos="8504"/>
      </w:tabs>
      <w:snapToGrid w:val="0"/>
    </w:pPr>
  </w:style>
  <w:style w:type="character" w:customStyle="1" w:styleId="ae">
    <w:name w:val="ヘッダー (文字)"/>
    <w:basedOn w:val="a0"/>
    <w:link w:val="ad"/>
    <w:uiPriority w:val="99"/>
    <w:rsid w:val="00D8166D"/>
    <w:rPr>
      <w:rFonts w:ascii="Century" w:hAnsi="Century" w:cs="Century"/>
      <w:kern w:val="0"/>
      <w:szCs w:val="21"/>
    </w:rPr>
  </w:style>
  <w:style w:type="paragraph" w:styleId="af">
    <w:name w:val="footer"/>
    <w:basedOn w:val="a"/>
    <w:link w:val="af0"/>
    <w:uiPriority w:val="99"/>
    <w:unhideWhenUsed/>
    <w:rsid w:val="00D8166D"/>
    <w:pPr>
      <w:tabs>
        <w:tab w:val="center" w:pos="4252"/>
        <w:tab w:val="right" w:pos="8504"/>
      </w:tabs>
      <w:snapToGrid w:val="0"/>
    </w:pPr>
  </w:style>
  <w:style w:type="character" w:customStyle="1" w:styleId="af0">
    <w:name w:val="フッター (文字)"/>
    <w:basedOn w:val="a0"/>
    <w:link w:val="af"/>
    <w:uiPriority w:val="99"/>
    <w:rsid w:val="00D8166D"/>
    <w:rPr>
      <w:rFonts w:ascii="Century" w:hAnsi="Century" w:cs="Century"/>
      <w:kern w:val="0"/>
      <w:szCs w:val="21"/>
    </w:rPr>
  </w:style>
  <w:style w:type="character" w:styleId="af1">
    <w:name w:val="Placeholder Text"/>
    <w:basedOn w:val="a0"/>
    <w:uiPriority w:val="99"/>
    <w:semiHidden/>
    <w:rsid w:val="00525CE9"/>
    <w:rPr>
      <w:color w:val="666666"/>
    </w:rPr>
  </w:style>
  <w:style w:type="paragraph" w:customStyle="1" w:styleId="11">
    <w:name w:val="文献目録1"/>
    <w:basedOn w:val="a"/>
    <w:rsid w:val="00525CE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2">
    <w:name w:val="annotation subject"/>
    <w:basedOn w:val="aa"/>
    <w:next w:val="aa"/>
    <w:link w:val="af3"/>
    <w:uiPriority w:val="99"/>
    <w:semiHidden/>
    <w:unhideWhenUsed/>
    <w:rsid w:val="003E67AE"/>
    <w:rPr>
      <w:b/>
      <w:bCs/>
    </w:rPr>
  </w:style>
  <w:style w:type="character" w:customStyle="1" w:styleId="af3">
    <w:name w:val="コメント内容 (文字)"/>
    <w:basedOn w:val="ab"/>
    <w:link w:val="af2"/>
    <w:uiPriority w:val="99"/>
    <w:semiHidden/>
    <w:rsid w:val="003E67AE"/>
    <w:rPr>
      <w:rFonts w:ascii="Century" w:hAnsi="Century" w:cs="Century"/>
      <w:b/>
      <w:bCs/>
      <w:kern w:val="0"/>
      <w:szCs w:val="21"/>
    </w:rPr>
  </w:style>
  <w:style w:type="paragraph" w:styleId="af4">
    <w:name w:val="Revision"/>
    <w:hidden/>
    <w:uiPriority w:val="99"/>
    <w:semiHidden/>
    <w:rsid w:val="00B11C14"/>
    <w:rPr>
      <w:rFonts w:ascii="Century" w:hAnsi="Century" w:cs="Century"/>
      <w:kern w:val="0"/>
      <w:szCs w:val="21"/>
    </w:rPr>
  </w:style>
  <w:style w:type="paragraph" w:customStyle="1" w:styleId="Bibliography1">
    <w:name w:val="Bibliography1"/>
    <w:basedOn w:val="a"/>
    <w:rsid w:val="007953F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5">
    <w:name w:val="Hyperlink"/>
    <w:basedOn w:val="a0"/>
    <w:uiPriority w:val="99"/>
    <w:unhideWhenUsed/>
    <w:rsid w:val="006316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8795">
      <w:bodyDiv w:val="1"/>
      <w:marLeft w:val="0"/>
      <w:marRight w:val="0"/>
      <w:marTop w:val="0"/>
      <w:marBottom w:val="0"/>
      <w:divBdr>
        <w:top w:val="none" w:sz="0" w:space="0" w:color="auto"/>
        <w:left w:val="none" w:sz="0" w:space="0" w:color="auto"/>
        <w:bottom w:val="none" w:sz="0" w:space="0" w:color="auto"/>
        <w:right w:val="none" w:sz="0" w:space="0" w:color="auto"/>
      </w:divBdr>
    </w:div>
    <w:div w:id="49771445">
      <w:bodyDiv w:val="1"/>
      <w:marLeft w:val="0"/>
      <w:marRight w:val="0"/>
      <w:marTop w:val="0"/>
      <w:marBottom w:val="0"/>
      <w:divBdr>
        <w:top w:val="none" w:sz="0" w:space="0" w:color="auto"/>
        <w:left w:val="none" w:sz="0" w:space="0" w:color="auto"/>
        <w:bottom w:val="none" w:sz="0" w:space="0" w:color="auto"/>
        <w:right w:val="none" w:sz="0" w:space="0" w:color="auto"/>
      </w:divBdr>
    </w:div>
    <w:div w:id="56826639">
      <w:bodyDiv w:val="1"/>
      <w:marLeft w:val="0"/>
      <w:marRight w:val="0"/>
      <w:marTop w:val="0"/>
      <w:marBottom w:val="0"/>
      <w:divBdr>
        <w:top w:val="none" w:sz="0" w:space="0" w:color="auto"/>
        <w:left w:val="none" w:sz="0" w:space="0" w:color="auto"/>
        <w:bottom w:val="none" w:sz="0" w:space="0" w:color="auto"/>
        <w:right w:val="none" w:sz="0" w:space="0" w:color="auto"/>
      </w:divBdr>
    </w:div>
    <w:div w:id="58752436">
      <w:bodyDiv w:val="1"/>
      <w:marLeft w:val="0"/>
      <w:marRight w:val="0"/>
      <w:marTop w:val="0"/>
      <w:marBottom w:val="0"/>
      <w:divBdr>
        <w:top w:val="none" w:sz="0" w:space="0" w:color="auto"/>
        <w:left w:val="none" w:sz="0" w:space="0" w:color="auto"/>
        <w:bottom w:val="none" w:sz="0" w:space="0" w:color="auto"/>
        <w:right w:val="none" w:sz="0" w:space="0" w:color="auto"/>
      </w:divBdr>
    </w:div>
    <w:div w:id="65996167">
      <w:bodyDiv w:val="1"/>
      <w:marLeft w:val="0"/>
      <w:marRight w:val="0"/>
      <w:marTop w:val="0"/>
      <w:marBottom w:val="0"/>
      <w:divBdr>
        <w:top w:val="none" w:sz="0" w:space="0" w:color="auto"/>
        <w:left w:val="none" w:sz="0" w:space="0" w:color="auto"/>
        <w:bottom w:val="none" w:sz="0" w:space="0" w:color="auto"/>
        <w:right w:val="none" w:sz="0" w:space="0" w:color="auto"/>
      </w:divBdr>
    </w:div>
    <w:div w:id="99691362">
      <w:bodyDiv w:val="1"/>
      <w:marLeft w:val="0"/>
      <w:marRight w:val="0"/>
      <w:marTop w:val="0"/>
      <w:marBottom w:val="0"/>
      <w:divBdr>
        <w:top w:val="none" w:sz="0" w:space="0" w:color="auto"/>
        <w:left w:val="none" w:sz="0" w:space="0" w:color="auto"/>
        <w:bottom w:val="none" w:sz="0" w:space="0" w:color="auto"/>
        <w:right w:val="none" w:sz="0" w:space="0" w:color="auto"/>
      </w:divBdr>
    </w:div>
    <w:div w:id="109397371">
      <w:bodyDiv w:val="1"/>
      <w:marLeft w:val="0"/>
      <w:marRight w:val="0"/>
      <w:marTop w:val="0"/>
      <w:marBottom w:val="0"/>
      <w:divBdr>
        <w:top w:val="none" w:sz="0" w:space="0" w:color="auto"/>
        <w:left w:val="none" w:sz="0" w:space="0" w:color="auto"/>
        <w:bottom w:val="none" w:sz="0" w:space="0" w:color="auto"/>
        <w:right w:val="none" w:sz="0" w:space="0" w:color="auto"/>
      </w:divBdr>
    </w:div>
    <w:div w:id="116067316">
      <w:bodyDiv w:val="1"/>
      <w:marLeft w:val="0"/>
      <w:marRight w:val="0"/>
      <w:marTop w:val="0"/>
      <w:marBottom w:val="0"/>
      <w:divBdr>
        <w:top w:val="none" w:sz="0" w:space="0" w:color="auto"/>
        <w:left w:val="none" w:sz="0" w:space="0" w:color="auto"/>
        <w:bottom w:val="none" w:sz="0" w:space="0" w:color="auto"/>
        <w:right w:val="none" w:sz="0" w:space="0" w:color="auto"/>
      </w:divBdr>
    </w:div>
    <w:div w:id="170073697">
      <w:bodyDiv w:val="1"/>
      <w:marLeft w:val="0"/>
      <w:marRight w:val="0"/>
      <w:marTop w:val="0"/>
      <w:marBottom w:val="0"/>
      <w:divBdr>
        <w:top w:val="none" w:sz="0" w:space="0" w:color="auto"/>
        <w:left w:val="none" w:sz="0" w:space="0" w:color="auto"/>
        <w:bottom w:val="none" w:sz="0" w:space="0" w:color="auto"/>
        <w:right w:val="none" w:sz="0" w:space="0" w:color="auto"/>
      </w:divBdr>
    </w:div>
    <w:div w:id="196163511">
      <w:bodyDiv w:val="1"/>
      <w:marLeft w:val="0"/>
      <w:marRight w:val="0"/>
      <w:marTop w:val="0"/>
      <w:marBottom w:val="0"/>
      <w:divBdr>
        <w:top w:val="none" w:sz="0" w:space="0" w:color="auto"/>
        <w:left w:val="none" w:sz="0" w:space="0" w:color="auto"/>
        <w:bottom w:val="none" w:sz="0" w:space="0" w:color="auto"/>
        <w:right w:val="none" w:sz="0" w:space="0" w:color="auto"/>
      </w:divBdr>
    </w:div>
    <w:div w:id="231623889">
      <w:bodyDiv w:val="1"/>
      <w:marLeft w:val="0"/>
      <w:marRight w:val="0"/>
      <w:marTop w:val="0"/>
      <w:marBottom w:val="0"/>
      <w:divBdr>
        <w:top w:val="none" w:sz="0" w:space="0" w:color="auto"/>
        <w:left w:val="none" w:sz="0" w:space="0" w:color="auto"/>
        <w:bottom w:val="none" w:sz="0" w:space="0" w:color="auto"/>
        <w:right w:val="none" w:sz="0" w:space="0" w:color="auto"/>
      </w:divBdr>
    </w:div>
    <w:div w:id="234361966">
      <w:bodyDiv w:val="1"/>
      <w:marLeft w:val="0"/>
      <w:marRight w:val="0"/>
      <w:marTop w:val="0"/>
      <w:marBottom w:val="0"/>
      <w:divBdr>
        <w:top w:val="none" w:sz="0" w:space="0" w:color="auto"/>
        <w:left w:val="none" w:sz="0" w:space="0" w:color="auto"/>
        <w:bottom w:val="none" w:sz="0" w:space="0" w:color="auto"/>
        <w:right w:val="none" w:sz="0" w:space="0" w:color="auto"/>
      </w:divBdr>
    </w:div>
    <w:div w:id="243345158">
      <w:bodyDiv w:val="1"/>
      <w:marLeft w:val="0"/>
      <w:marRight w:val="0"/>
      <w:marTop w:val="0"/>
      <w:marBottom w:val="0"/>
      <w:divBdr>
        <w:top w:val="none" w:sz="0" w:space="0" w:color="auto"/>
        <w:left w:val="none" w:sz="0" w:space="0" w:color="auto"/>
        <w:bottom w:val="none" w:sz="0" w:space="0" w:color="auto"/>
        <w:right w:val="none" w:sz="0" w:space="0" w:color="auto"/>
      </w:divBdr>
    </w:div>
    <w:div w:id="267079911">
      <w:bodyDiv w:val="1"/>
      <w:marLeft w:val="0"/>
      <w:marRight w:val="0"/>
      <w:marTop w:val="0"/>
      <w:marBottom w:val="0"/>
      <w:divBdr>
        <w:top w:val="none" w:sz="0" w:space="0" w:color="auto"/>
        <w:left w:val="none" w:sz="0" w:space="0" w:color="auto"/>
        <w:bottom w:val="none" w:sz="0" w:space="0" w:color="auto"/>
        <w:right w:val="none" w:sz="0" w:space="0" w:color="auto"/>
      </w:divBdr>
    </w:div>
    <w:div w:id="269819512">
      <w:bodyDiv w:val="1"/>
      <w:marLeft w:val="0"/>
      <w:marRight w:val="0"/>
      <w:marTop w:val="0"/>
      <w:marBottom w:val="0"/>
      <w:divBdr>
        <w:top w:val="none" w:sz="0" w:space="0" w:color="auto"/>
        <w:left w:val="none" w:sz="0" w:space="0" w:color="auto"/>
        <w:bottom w:val="none" w:sz="0" w:space="0" w:color="auto"/>
        <w:right w:val="none" w:sz="0" w:space="0" w:color="auto"/>
      </w:divBdr>
    </w:div>
    <w:div w:id="289016121">
      <w:bodyDiv w:val="1"/>
      <w:marLeft w:val="0"/>
      <w:marRight w:val="0"/>
      <w:marTop w:val="0"/>
      <w:marBottom w:val="0"/>
      <w:divBdr>
        <w:top w:val="none" w:sz="0" w:space="0" w:color="auto"/>
        <w:left w:val="none" w:sz="0" w:space="0" w:color="auto"/>
        <w:bottom w:val="none" w:sz="0" w:space="0" w:color="auto"/>
        <w:right w:val="none" w:sz="0" w:space="0" w:color="auto"/>
      </w:divBdr>
    </w:div>
    <w:div w:id="311064968">
      <w:bodyDiv w:val="1"/>
      <w:marLeft w:val="0"/>
      <w:marRight w:val="0"/>
      <w:marTop w:val="0"/>
      <w:marBottom w:val="0"/>
      <w:divBdr>
        <w:top w:val="none" w:sz="0" w:space="0" w:color="auto"/>
        <w:left w:val="none" w:sz="0" w:space="0" w:color="auto"/>
        <w:bottom w:val="none" w:sz="0" w:space="0" w:color="auto"/>
        <w:right w:val="none" w:sz="0" w:space="0" w:color="auto"/>
      </w:divBdr>
    </w:div>
    <w:div w:id="324089364">
      <w:bodyDiv w:val="1"/>
      <w:marLeft w:val="0"/>
      <w:marRight w:val="0"/>
      <w:marTop w:val="0"/>
      <w:marBottom w:val="0"/>
      <w:divBdr>
        <w:top w:val="none" w:sz="0" w:space="0" w:color="auto"/>
        <w:left w:val="none" w:sz="0" w:space="0" w:color="auto"/>
        <w:bottom w:val="none" w:sz="0" w:space="0" w:color="auto"/>
        <w:right w:val="none" w:sz="0" w:space="0" w:color="auto"/>
      </w:divBdr>
    </w:div>
    <w:div w:id="339279888">
      <w:bodyDiv w:val="1"/>
      <w:marLeft w:val="0"/>
      <w:marRight w:val="0"/>
      <w:marTop w:val="0"/>
      <w:marBottom w:val="0"/>
      <w:divBdr>
        <w:top w:val="none" w:sz="0" w:space="0" w:color="auto"/>
        <w:left w:val="none" w:sz="0" w:space="0" w:color="auto"/>
        <w:bottom w:val="none" w:sz="0" w:space="0" w:color="auto"/>
        <w:right w:val="none" w:sz="0" w:space="0" w:color="auto"/>
      </w:divBdr>
    </w:div>
    <w:div w:id="351224738">
      <w:bodyDiv w:val="1"/>
      <w:marLeft w:val="0"/>
      <w:marRight w:val="0"/>
      <w:marTop w:val="0"/>
      <w:marBottom w:val="0"/>
      <w:divBdr>
        <w:top w:val="none" w:sz="0" w:space="0" w:color="auto"/>
        <w:left w:val="none" w:sz="0" w:space="0" w:color="auto"/>
        <w:bottom w:val="none" w:sz="0" w:space="0" w:color="auto"/>
        <w:right w:val="none" w:sz="0" w:space="0" w:color="auto"/>
      </w:divBdr>
    </w:div>
    <w:div w:id="390352066">
      <w:bodyDiv w:val="1"/>
      <w:marLeft w:val="0"/>
      <w:marRight w:val="0"/>
      <w:marTop w:val="0"/>
      <w:marBottom w:val="0"/>
      <w:divBdr>
        <w:top w:val="none" w:sz="0" w:space="0" w:color="auto"/>
        <w:left w:val="none" w:sz="0" w:space="0" w:color="auto"/>
        <w:bottom w:val="none" w:sz="0" w:space="0" w:color="auto"/>
        <w:right w:val="none" w:sz="0" w:space="0" w:color="auto"/>
      </w:divBdr>
    </w:div>
    <w:div w:id="403142635">
      <w:bodyDiv w:val="1"/>
      <w:marLeft w:val="0"/>
      <w:marRight w:val="0"/>
      <w:marTop w:val="0"/>
      <w:marBottom w:val="0"/>
      <w:divBdr>
        <w:top w:val="none" w:sz="0" w:space="0" w:color="auto"/>
        <w:left w:val="none" w:sz="0" w:space="0" w:color="auto"/>
        <w:bottom w:val="none" w:sz="0" w:space="0" w:color="auto"/>
        <w:right w:val="none" w:sz="0" w:space="0" w:color="auto"/>
      </w:divBdr>
    </w:div>
    <w:div w:id="405032472">
      <w:bodyDiv w:val="1"/>
      <w:marLeft w:val="0"/>
      <w:marRight w:val="0"/>
      <w:marTop w:val="0"/>
      <w:marBottom w:val="0"/>
      <w:divBdr>
        <w:top w:val="none" w:sz="0" w:space="0" w:color="auto"/>
        <w:left w:val="none" w:sz="0" w:space="0" w:color="auto"/>
        <w:bottom w:val="none" w:sz="0" w:space="0" w:color="auto"/>
        <w:right w:val="none" w:sz="0" w:space="0" w:color="auto"/>
      </w:divBdr>
    </w:div>
    <w:div w:id="417336282">
      <w:bodyDiv w:val="1"/>
      <w:marLeft w:val="0"/>
      <w:marRight w:val="0"/>
      <w:marTop w:val="0"/>
      <w:marBottom w:val="0"/>
      <w:divBdr>
        <w:top w:val="none" w:sz="0" w:space="0" w:color="auto"/>
        <w:left w:val="none" w:sz="0" w:space="0" w:color="auto"/>
        <w:bottom w:val="none" w:sz="0" w:space="0" w:color="auto"/>
        <w:right w:val="none" w:sz="0" w:space="0" w:color="auto"/>
      </w:divBdr>
    </w:div>
    <w:div w:id="439956677">
      <w:bodyDiv w:val="1"/>
      <w:marLeft w:val="0"/>
      <w:marRight w:val="0"/>
      <w:marTop w:val="0"/>
      <w:marBottom w:val="0"/>
      <w:divBdr>
        <w:top w:val="none" w:sz="0" w:space="0" w:color="auto"/>
        <w:left w:val="none" w:sz="0" w:space="0" w:color="auto"/>
        <w:bottom w:val="none" w:sz="0" w:space="0" w:color="auto"/>
        <w:right w:val="none" w:sz="0" w:space="0" w:color="auto"/>
      </w:divBdr>
    </w:div>
    <w:div w:id="441001539">
      <w:bodyDiv w:val="1"/>
      <w:marLeft w:val="0"/>
      <w:marRight w:val="0"/>
      <w:marTop w:val="0"/>
      <w:marBottom w:val="0"/>
      <w:divBdr>
        <w:top w:val="none" w:sz="0" w:space="0" w:color="auto"/>
        <w:left w:val="none" w:sz="0" w:space="0" w:color="auto"/>
        <w:bottom w:val="none" w:sz="0" w:space="0" w:color="auto"/>
        <w:right w:val="none" w:sz="0" w:space="0" w:color="auto"/>
      </w:divBdr>
    </w:div>
    <w:div w:id="454177434">
      <w:bodyDiv w:val="1"/>
      <w:marLeft w:val="0"/>
      <w:marRight w:val="0"/>
      <w:marTop w:val="0"/>
      <w:marBottom w:val="0"/>
      <w:divBdr>
        <w:top w:val="none" w:sz="0" w:space="0" w:color="auto"/>
        <w:left w:val="none" w:sz="0" w:space="0" w:color="auto"/>
        <w:bottom w:val="none" w:sz="0" w:space="0" w:color="auto"/>
        <w:right w:val="none" w:sz="0" w:space="0" w:color="auto"/>
      </w:divBdr>
    </w:div>
    <w:div w:id="455216896">
      <w:bodyDiv w:val="1"/>
      <w:marLeft w:val="0"/>
      <w:marRight w:val="0"/>
      <w:marTop w:val="0"/>
      <w:marBottom w:val="0"/>
      <w:divBdr>
        <w:top w:val="none" w:sz="0" w:space="0" w:color="auto"/>
        <w:left w:val="none" w:sz="0" w:space="0" w:color="auto"/>
        <w:bottom w:val="none" w:sz="0" w:space="0" w:color="auto"/>
        <w:right w:val="none" w:sz="0" w:space="0" w:color="auto"/>
      </w:divBdr>
    </w:div>
    <w:div w:id="460416408">
      <w:bodyDiv w:val="1"/>
      <w:marLeft w:val="0"/>
      <w:marRight w:val="0"/>
      <w:marTop w:val="0"/>
      <w:marBottom w:val="0"/>
      <w:divBdr>
        <w:top w:val="none" w:sz="0" w:space="0" w:color="auto"/>
        <w:left w:val="none" w:sz="0" w:space="0" w:color="auto"/>
        <w:bottom w:val="none" w:sz="0" w:space="0" w:color="auto"/>
        <w:right w:val="none" w:sz="0" w:space="0" w:color="auto"/>
      </w:divBdr>
    </w:div>
    <w:div w:id="465516162">
      <w:bodyDiv w:val="1"/>
      <w:marLeft w:val="0"/>
      <w:marRight w:val="0"/>
      <w:marTop w:val="0"/>
      <w:marBottom w:val="0"/>
      <w:divBdr>
        <w:top w:val="none" w:sz="0" w:space="0" w:color="auto"/>
        <w:left w:val="none" w:sz="0" w:space="0" w:color="auto"/>
        <w:bottom w:val="none" w:sz="0" w:space="0" w:color="auto"/>
        <w:right w:val="none" w:sz="0" w:space="0" w:color="auto"/>
      </w:divBdr>
    </w:div>
    <w:div w:id="471555932">
      <w:bodyDiv w:val="1"/>
      <w:marLeft w:val="0"/>
      <w:marRight w:val="0"/>
      <w:marTop w:val="0"/>
      <w:marBottom w:val="0"/>
      <w:divBdr>
        <w:top w:val="none" w:sz="0" w:space="0" w:color="auto"/>
        <w:left w:val="none" w:sz="0" w:space="0" w:color="auto"/>
        <w:bottom w:val="none" w:sz="0" w:space="0" w:color="auto"/>
        <w:right w:val="none" w:sz="0" w:space="0" w:color="auto"/>
      </w:divBdr>
    </w:div>
    <w:div w:id="534805933">
      <w:bodyDiv w:val="1"/>
      <w:marLeft w:val="0"/>
      <w:marRight w:val="0"/>
      <w:marTop w:val="0"/>
      <w:marBottom w:val="0"/>
      <w:divBdr>
        <w:top w:val="none" w:sz="0" w:space="0" w:color="auto"/>
        <w:left w:val="none" w:sz="0" w:space="0" w:color="auto"/>
        <w:bottom w:val="none" w:sz="0" w:space="0" w:color="auto"/>
        <w:right w:val="none" w:sz="0" w:space="0" w:color="auto"/>
      </w:divBdr>
    </w:div>
    <w:div w:id="535850735">
      <w:bodyDiv w:val="1"/>
      <w:marLeft w:val="0"/>
      <w:marRight w:val="0"/>
      <w:marTop w:val="0"/>
      <w:marBottom w:val="0"/>
      <w:divBdr>
        <w:top w:val="none" w:sz="0" w:space="0" w:color="auto"/>
        <w:left w:val="none" w:sz="0" w:space="0" w:color="auto"/>
        <w:bottom w:val="none" w:sz="0" w:space="0" w:color="auto"/>
        <w:right w:val="none" w:sz="0" w:space="0" w:color="auto"/>
      </w:divBdr>
    </w:div>
    <w:div w:id="578715226">
      <w:bodyDiv w:val="1"/>
      <w:marLeft w:val="0"/>
      <w:marRight w:val="0"/>
      <w:marTop w:val="0"/>
      <w:marBottom w:val="0"/>
      <w:divBdr>
        <w:top w:val="none" w:sz="0" w:space="0" w:color="auto"/>
        <w:left w:val="none" w:sz="0" w:space="0" w:color="auto"/>
        <w:bottom w:val="none" w:sz="0" w:space="0" w:color="auto"/>
        <w:right w:val="none" w:sz="0" w:space="0" w:color="auto"/>
      </w:divBdr>
    </w:div>
    <w:div w:id="593830725">
      <w:bodyDiv w:val="1"/>
      <w:marLeft w:val="0"/>
      <w:marRight w:val="0"/>
      <w:marTop w:val="0"/>
      <w:marBottom w:val="0"/>
      <w:divBdr>
        <w:top w:val="none" w:sz="0" w:space="0" w:color="auto"/>
        <w:left w:val="none" w:sz="0" w:space="0" w:color="auto"/>
        <w:bottom w:val="none" w:sz="0" w:space="0" w:color="auto"/>
        <w:right w:val="none" w:sz="0" w:space="0" w:color="auto"/>
      </w:divBdr>
    </w:div>
    <w:div w:id="658924137">
      <w:bodyDiv w:val="1"/>
      <w:marLeft w:val="0"/>
      <w:marRight w:val="0"/>
      <w:marTop w:val="0"/>
      <w:marBottom w:val="0"/>
      <w:divBdr>
        <w:top w:val="none" w:sz="0" w:space="0" w:color="auto"/>
        <w:left w:val="none" w:sz="0" w:space="0" w:color="auto"/>
        <w:bottom w:val="none" w:sz="0" w:space="0" w:color="auto"/>
        <w:right w:val="none" w:sz="0" w:space="0" w:color="auto"/>
      </w:divBdr>
    </w:div>
    <w:div w:id="662584110">
      <w:bodyDiv w:val="1"/>
      <w:marLeft w:val="0"/>
      <w:marRight w:val="0"/>
      <w:marTop w:val="0"/>
      <w:marBottom w:val="0"/>
      <w:divBdr>
        <w:top w:val="none" w:sz="0" w:space="0" w:color="auto"/>
        <w:left w:val="none" w:sz="0" w:space="0" w:color="auto"/>
        <w:bottom w:val="none" w:sz="0" w:space="0" w:color="auto"/>
        <w:right w:val="none" w:sz="0" w:space="0" w:color="auto"/>
      </w:divBdr>
    </w:div>
    <w:div w:id="670527534">
      <w:bodyDiv w:val="1"/>
      <w:marLeft w:val="0"/>
      <w:marRight w:val="0"/>
      <w:marTop w:val="0"/>
      <w:marBottom w:val="0"/>
      <w:divBdr>
        <w:top w:val="none" w:sz="0" w:space="0" w:color="auto"/>
        <w:left w:val="none" w:sz="0" w:space="0" w:color="auto"/>
        <w:bottom w:val="none" w:sz="0" w:space="0" w:color="auto"/>
        <w:right w:val="none" w:sz="0" w:space="0" w:color="auto"/>
      </w:divBdr>
    </w:div>
    <w:div w:id="697655970">
      <w:bodyDiv w:val="1"/>
      <w:marLeft w:val="0"/>
      <w:marRight w:val="0"/>
      <w:marTop w:val="0"/>
      <w:marBottom w:val="0"/>
      <w:divBdr>
        <w:top w:val="none" w:sz="0" w:space="0" w:color="auto"/>
        <w:left w:val="none" w:sz="0" w:space="0" w:color="auto"/>
        <w:bottom w:val="none" w:sz="0" w:space="0" w:color="auto"/>
        <w:right w:val="none" w:sz="0" w:space="0" w:color="auto"/>
      </w:divBdr>
    </w:div>
    <w:div w:id="716661970">
      <w:bodyDiv w:val="1"/>
      <w:marLeft w:val="0"/>
      <w:marRight w:val="0"/>
      <w:marTop w:val="0"/>
      <w:marBottom w:val="0"/>
      <w:divBdr>
        <w:top w:val="none" w:sz="0" w:space="0" w:color="auto"/>
        <w:left w:val="none" w:sz="0" w:space="0" w:color="auto"/>
        <w:bottom w:val="none" w:sz="0" w:space="0" w:color="auto"/>
        <w:right w:val="none" w:sz="0" w:space="0" w:color="auto"/>
      </w:divBdr>
    </w:div>
    <w:div w:id="717633105">
      <w:bodyDiv w:val="1"/>
      <w:marLeft w:val="0"/>
      <w:marRight w:val="0"/>
      <w:marTop w:val="0"/>
      <w:marBottom w:val="0"/>
      <w:divBdr>
        <w:top w:val="none" w:sz="0" w:space="0" w:color="auto"/>
        <w:left w:val="none" w:sz="0" w:space="0" w:color="auto"/>
        <w:bottom w:val="none" w:sz="0" w:space="0" w:color="auto"/>
        <w:right w:val="none" w:sz="0" w:space="0" w:color="auto"/>
      </w:divBdr>
    </w:div>
    <w:div w:id="743914309">
      <w:bodyDiv w:val="1"/>
      <w:marLeft w:val="0"/>
      <w:marRight w:val="0"/>
      <w:marTop w:val="0"/>
      <w:marBottom w:val="0"/>
      <w:divBdr>
        <w:top w:val="none" w:sz="0" w:space="0" w:color="auto"/>
        <w:left w:val="none" w:sz="0" w:space="0" w:color="auto"/>
        <w:bottom w:val="none" w:sz="0" w:space="0" w:color="auto"/>
        <w:right w:val="none" w:sz="0" w:space="0" w:color="auto"/>
      </w:divBdr>
    </w:div>
    <w:div w:id="745372677">
      <w:bodyDiv w:val="1"/>
      <w:marLeft w:val="0"/>
      <w:marRight w:val="0"/>
      <w:marTop w:val="0"/>
      <w:marBottom w:val="0"/>
      <w:divBdr>
        <w:top w:val="none" w:sz="0" w:space="0" w:color="auto"/>
        <w:left w:val="none" w:sz="0" w:space="0" w:color="auto"/>
        <w:bottom w:val="none" w:sz="0" w:space="0" w:color="auto"/>
        <w:right w:val="none" w:sz="0" w:space="0" w:color="auto"/>
      </w:divBdr>
    </w:div>
    <w:div w:id="745802718">
      <w:bodyDiv w:val="1"/>
      <w:marLeft w:val="0"/>
      <w:marRight w:val="0"/>
      <w:marTop w:val="0"/>
      <w:marBottom w:val="0"/>
      <w:divBdr>
        <w:top w:val="none" w:sz="0" w:space="0" w:color="auto"/>
        <w:left w:val="none" w:sz="0" w:space="0" w:color="auto"/>
        <w:bottom w:val="none" w:sz="0" w:space="0" w:color="auto"/>
        <w:right w:val="none" w:sz="0" w:space="0" w:color="auto"/>
      </w:divBdr>
    </w:div>
    <w:div w:id="788353334">
      <w:bodyDiv w:val="1"/>
      <w:marLeft w:val="0"/>
      <w:marRight w:val="0"/>
      <w:marTop w:val="0"/>
      <w:marBottom w:val="0"/>
      <w:divBdr>
        <w:top w:val="none" w:sz="0" w:space="0" w:color="auto"/>
        <w:left w:val="none" w:sz="0" w:space="0" w:color="auto"/>
        <w:bottom w:val="none" w:sz="0" w:space="0" w:color="auto"/>
        <w:right w:val="none" w:sz="0" w:space="0" w:color="auto"/>
      </w:divBdr>
    </w:div>
    <w:div w:id="796332623">
      <w:bodyDiv w:val="1"/>
      <w:marLeft w:val="0"/>
      <w:marRight w:val="0"/>
      <w:marTop w:val="0"/>
      <w:marBottom w:val="0"/>
      <w:divBdr>
        <w:top w:val="none" w:sz="0" w:space="0" w:color="auto"/>
        <w:left w:val="none" w:sz="0" w:space="0" w:color="auto"/>
        <w:bottom w:val="none" w:sz="0" w:space="0" w:color="auto"/>
        <w:right w:val="none" w:sz="0" w:space="0" w:color="auto"/>
      </w:divBdr>
    </w:div>
    <w:div w:id="812718050">
      <w:bodyDiv w:val="1"/>
      <w:marLeft w:val="0"/>
      <w:marRight w:val="0"/>
      <w:marTop w:val="0"/>
      <w:marBottom w:val="0"/>
      <w:divBdr>
        <w:top w:val="none" w:sz="0" w:space="0" w:color="auto"/>
        <w:left w:val="none" w:sz="0" w:space="0" w:color="auto"/>
        <w:bottom w:val="none" w:sz="0" w:space="0" w:color="auto"/>
        <w:right w:val="none" w:sz="0" w:space="0" w:color="auto"/>
      </w:divBdr>
    </w:div>
    <w:div w:id="815998974">
      <w:bodyDiv w:val="1"/>
      <w:marLeft w:val="0"/>
      <w:marRight w:val="0"/>
      <w:marTop w:val="0"/>
      <w:marBottom w:val="0"/>
      <w:divBdr>
        <w:top w:val="none" w:sz="0" w:space="0" w:color="auto"/>
        <w:left w:val="none" w:sz="0" w:space="0" w:color="auto"/>
        <w:bottom w:val="none" w:sz="0" w:space="0" w:color="auto"/>
        <w:right w:val="none" w:sz="0" w:space="0" w:color="auto"/>
      </w:divBdr>
    </w:div>
    <w:div w:id="819930539">
      <w:bodyDiv w:val="1"/>
      <w:marLeft w:val="0"/>
      <w:marRight w:val="0"/>
      <w:marTop w:val="0"/>
      <w:marBottom w:val="0"/>
      <w:divBdr>
        <w:top w:val="none" w:sz="0" w:space="0" w:color="auto"/>
        <w:left w:val="none" w:sz="0" w:space="0" w:color="auto"/>
        <w:bottom w:val="none" w:sz="0" w:space="0" w:color="auto"/>
        <w:right w:val="none" w:sz="0" w:space="0" w:color="auto"/>
      </w:divBdr>
    </w:div>
    <w:div w:id="833957686">
      <w:bodyDiv w:val="1"/>
      <w:marLeft w:val="0"/>
      <w:marRight w:val="0"/>
      <w:marTop w:val="0"/>
      <w:marBottom w:val="0"/>
      <w:divBdr>
        <w:top w:val="none" w:sz="0" w:space="0" w:color="auto"/>
        <w:left w:val="none" w:sz="0" w:space="0" w:color="auto"/>
        <w:bottom w:val="none" w:sz="0" w:space="0" w:color="auto"/>
        <w:right w:val="none" w:sz="0" w:space="0" w:color="auto"/>
      </w:divBdr>
    </w:div>
    <w:div w:id="843514122">
      <w:bodyDiv w:val="1"/>
      <w:marLeft w:val="0"/>
      <w:marRight w:val="0"/>
      <w:marTop w:val="0"/>
      <w:marBottom w:val="0"/>
      <w:divBdr>
        <w:top w:val="none" w:sz="0" w:space="0" w:color="auto"/>
        <w:left w:val="none" w:sz="0" w:space="0" w:color="auto"/>
        <w:bottom w:val="none" w:sz="0" w:space="0" w:color="auto"/>
        <w:right w:val="none" w:sz="0" w:space="0" w:color="auto"/>
      </w:divBdr>
    </w:div>
    <w:div w:id="849104670">
      <w:bodyDiv w:val="1"/>
      <w:marLeft w:val="0"/>
      <w:marRight w:val="0"/>
      <w:marTop w:val="0"/>
      <w:marBottom w:val="0"/>
      <w:divBdr>
        <w:top w:val="none" w:sz="0" w:space="0" w:color="auto"/>
        <w:left w:val="none" w:sz="0" w:space="0" w:color="auto"/>
        <w:bottom w:val="none" w:sz="0" w:space="0" w:color="auto"/>
        <w:right w:val="none" w:sz="0" w:space="0" w:color="auto"/>
      </w:divBdr>
    </w:div>
    <w:div w:id="861362797">
      <w:bodyDiv w:val="1"/>
      <w:marLeft w:val="0"/>
      <w:marRight w:val="0"/>
      <w:marTop w:val="0"/>
      <w:marBottom w:val="0"/>
      <w:divBdr>
        <w:top w:val="none" w:sz="0" w:space="0" w:color="auto"/>
        <w:left w:val="none" w:sz="0" w:space="0" w:color="auto"/>
        <w:bottom w:val="none" w:sz="0" w:space="0" w:color="auto"/>
        <w:right w:val="none" w:sz="0" w:space="0" w:color="auto"/>
      </w:divBdr>
    </w:div>
    <w:div w:id="863446187">
      <w:bodyDiv w:val="1"/>
      <w:marLeft w:val="0"/>
      <w:marRight w:val="0"/>
      <w:marTop w:val="0"/>
      <w:marBottom w:val="0"/>
      <w:divBdr>
        <w:top w:val="none" w:sz="0" w:space="0" w:color="auto"/>
        <w:left w:val="none" w:sz="0" w:space="0" w:color="auto"/>
        <w:bottom w:val="none" w:sz="0" w:space="0" w:color="auto"/>
        <w:right w:val="none" w:sz="0" w:space="0" w:color="auto"/>
      </w:divBdr>
    </w:div>
    <w:div w:id="874847677">
      <w:bodyDiv w:val="1"/>
      <w:marLeft w:val="0"/>
      <w:marRight w:val="0"/>
      <w:marTop w:val="0"/>
      <w:marBottom w:val="0"/>
      <w:divBdr>
        <w:top w:val="none" w:sz="0" w:space="0" w:color="auto"/>
        <w:left w:val="none" w:sz="0" w:space="0" w:color="auto"/>
        <w:bottom w:val="none" w:sz="0" w:space="0" w:color="auto"/>
        <w:right w:val="none" w:sz="0" w:space="0" w:color="auto"/>
      </w:divBdr>
    </w:div>
    <w:div w:id="881747372">
      <w:bodyDiv w:val="1"/>
      <w:marLeft w:val="0"/>
      <w:marRight w:val="0"/>
      <w:marTop w:val="0"/>
      <w:marBottom w:val="0"/>
      <w:divBdr>
        <w:top w:val="none" w:sz="0" w:space="0" w:color="auto"/>
        <w:left w:val="none" w:sz="0" w:space="0" w:color="auto"/>
        <w:bottom w:val="none" w:sz="0" w:space="0" w:color="auto"/>
        <w:right w:val="none" w:sz="0" w:space="0" w:color="auto"/>
      </w:divBdr>
    </w:div>
    <w:div w:id="919872425">
      <w:bodyDiv w:val="1"/>
      <w:marLeft w:val="0"/>
      <w:marRight w:val="0"/>
      <w:marTop w:val="0"/>
      <w:marBottom w:val="0"/>
      <w:divBdr>
        <w:top w:val="none" w:sz="0" w:space="0" w:color="auto"/>
        <w:left w:val="none" w:sz="0" w:space="0" w:color="auto"/>
        <w:bottom w:val="none" w:sz="0" w:space="0" w:color="auto"/>
        <w:right w:val="none" w:sz="0" w:space="0" w:color="auto"/>
      </w:divBdr>
    </w:div>
    <w:div w:id="929657556">
      <w:bodyDiv w:val="1"/>
      <w:marLeft w:val="0"/>
      <w:marRight w:val="0"/>
      <w:marTop w:val="0"/>
      <w:marBottom w:val="0"/>
      <w:divBdr>
        <w:top w:val="none" w:sz="0" w:space="0" w:color="auto"/>
        <w:left w:val="none" w:sz="0" w:space="0" w:color="auto"/>
        <w:bottom w:val="none" w:sz="0" w:space="0" w:color="auto"/>
        <w:right w:val="none" w:sz="0" w:space="0" w:color="auto"/>
      </w:divBdr>
    </w:div>
    <w:div w:id="939529092">
      <w:bodyDiv w:val="1"/>
      <w:marLeft w:val="0"/>
      <w:marRight w:val="0"/>
      <w:marTop w:val="0"/>
      <w:marBottom w:val="0"/>
      <w:divBdr>
        <w:top w:val="none" w:sz="0" w:space="0" w:color="auto"/>
        <w:left w:val="none" w:sz="0" w:space="0" w:color="auto"/>
        <w:bottom w:val="none" w:sz="0" w:space="0" w:color="auto"/>
        <w:right w:val="none" w:sz="0" w:space="0" w:color="auto"/>
      </w:divBdr>
    </w:div>
    <w:div w:id="941717062">
      <w:bodyDiv w:val="1"/>
      <w:marLeft w:val="0"/>
      <w:marRight w:val="0"/>
      <w:marTop w:val="0"/>
      <w:marBottom w:val="0"/>
      <w:divBdr>
        <w:top w:val="none" w:sz="0" w:space="0" w:color="auto"/>
        <w:left w:val="none" w:sz="0" w:space="0" w:color="auto"/>
        <w:bottom w:val="none" w:sz="0" w:space="0" w:color="auto"/>
        <w:right w:val="none" w:sz="0" w:space="0" w:color="auto"/>
      </w:divBdr>
    </w:div>
    <w:div w:id="960379385">
      <w:bodyDiv w:val="1"/>
      <w:marLeft w:val="0"/>
      <w:marRight w:val="0"/>
      <w:marTop w:val="0"/>
      <w:marBottom w:val="0"/>
      <w:divBdr>
        <w:top w:val="none" w:sz="0" w:space="0" w:color="auto"/>
        <w:left w:val="none" w:sz="0" w:space="0" w:color="auto"/>
        <w:bottom w:val="none" w:sz="0" w:space="0" w:color="auto"/>
        <w:right w:val="none" w:sz="0" w:space="0" w:color="auto"/>
      </w:divBdr>
    </w:div>
    <w:div w:id="973490543">
      <w:bodyDiv w:val="1"/>
      <w:marLeft w:val="0"/>
      <w:marRight w:val="0"/>
      <w:marTop w:val="0"/>
      <w:marBottom w:val="0"/>
      <w:divBdr>
        <w:top w:val="none" w:sz="0" w:space="0" w:color="auto"/>
        <w:left w:val="none" w:sz="0" w:space="0" w:color="auto"/>
        <w:bottom w:val="none" w:sz="0" w:space="0" w:color="auto"/>
        <w:right w:val="none" w:sz="0" w:space="0" w:color="auto"/>
      </w:divBdr>
    </w:div>
    <w:div w:id="980501195">
      <w:bodyDiv w:val="1"/>
      <w:marLeft w:val="0"/>
      <w:marRight w:val="0"/>
      <w:marTop w:val="0"/>
      <w:marBottom w:val="0"/>
      <w:divBdr>
        <w:top w:val="none" w:sz="0" w:space="0" w:color="auto"/>
        <w:left w:val="none" w:sz="0" w:space="0" w:color="auto"/>
        <w:bottom w:val="none" w:sz="0" w:space="0" w:color="auto"/>
        <w:right w:val="none" w:sz="0" w:space="0" w:color="auto"/>
      </w:divBdr>
    </w:div>
    <w:div w:id="1005135183">
      <w:bodyDiv w:val="1"/>
      <w:marLeft w:val="0"/>
      <w:marRight w:val="0"/>
      <w:marTop w:val="0"/>
      <w:marBottom w:val="0"/>
      <w:divBdr>
        <w:top w:val="none" w:sz="0" w:space="0" w:color="auto"/>
        <w:left w:val="none" w:sz="0" w:space="0" w:color="auto"/>
        <w:bottom w:val="none" w:sz="0" w:space="0" w:color="auto"/>
        <w:right w:val="none" w:sz="0" w:space="0" w:color="auto"/>
      </w:divBdr>
    </w:div>
    <w:div w:id="1006715477">
      <w:bodyDiv w:val="1"/>
      <w:marLeft w:val="0"/>
      <w:marRight w:val="0"/>
      <w:marTop w:val="0"/>
      <w:marBottom w:val="0"/>
      <w:divBdr>
        <w:top w:val="none" w:sz="0" w:space="0" w:color="auto"/>
        <w:left w:val="none" w:sz="0" w:space="0" w:color="auto"/>
        <w:bottom w:val="none" w:sz="0" w:space="0" w:color="auto"/>
        <w:right w:val="none" w:sz="0" w:space="0" w:color="auto"/>
      </w:divBdr>
    </w:div>
    <w:div w:id="1023170719">
      <w:bodyDiv w:val="1"/>
      <w:marLeft w:val="0"/>
      <w:marRight w:val="0"/>
      <w:marTop w:val="0"/>
      <w:marBottom w:val="0"/>
      <w:divBdr>
        <w:top w:val="none" w:sz="0" w:space="0" w:color="auto"/>
        <w:left w:val="none" w:sz="0" w:space="0" w:color="auto"/>
        <w:bottom w:val="none" w:sz="0" w:space="0" w:color="auto"/>
        <w:right w:val="none" w:sz="0" w:space="0" w:color="auto"/>
      </w:divBdr>
    </w:div>
    <w:div w:id="1026179305">
      <w:bodyDiv w:val="1"/>
      <w:marLeft w:val="0"/>
      <w:marRight w:val="0"/>
      <w:marTop w:val="0"/>
      <w:marBottom w:val="0"/>
      <w:divBdr>
        <w:top w:val="none" w:sz="0" w:space="0" w:color="auto"/>
        <w:left w:val="none" w:sz="0" w:space="0" w:color="auto"/>
        <w:bottom w:val="none" w:sz="0" w:space="0" w:color="auto"/>
        <w:right w:val="none" w:sz="0" w:space="0" w:color="auto"/>
      </w:divBdr>
    </w:div>
    <w:div w:id="1027637196">
      <w:bodyDiv w:val="1"/>
      <w:marLeft w:val="0"/>
      <w:marRight w:val="0"/>
      <w:marTop w:val="0"/>
      <w:marBottom w:val="0"/>
      <w:divBdr>
        <w:top w:val="none" w:sz="0" w:space="0" w:color="auto"/>
        <w:left w:val="none" w:sz="0" w:space="0" w:color="auto"/>
        <w:bottom w:val="none" w:sz="0" w:space="0" w:color="auto"/>
        <w:right w:val="none" w:sz="0" w:space="0" w:color="auto"/>
      </w:divBdr>
    </w:div>
    <w:div w:id="1039087300">
      <w:bodyDiv w:val="1"/>
      <w:marLeft w:val="0"/>
      <w:marRight w:val="0"/>
      <w:marTop w:val="0"/>
      <w:marBottom w:val="0"/>
      <w:divBdr>
        <w:top w:val="none" w:sz="0" w:space="0" w:color="auto"/>
        <w:left w:val="none" w:sz="0" w:space="0" w:color="auto"/>
        <w:bottom w:val="none" w:sz="0" w:space="0" w:color="auto"/>
        <w:right w:val="none" w:sz="0" w:space="0" w:color="auto"/>
      </w:divBdr>
    </w:div>
    <w:div w:id="1052919934">
      <w:bodyDiv w:val="1"/>
      <w:marLeft w:val="0"/>
      <w:marRight w:val="0"/>
      <w:marTop w:val="0"/>
      <w:marBottom w:val="0"/>
      <w:divBdr>
        <w:top w:val="none" w:sz="0" w:space="0" w:color="auto"/>
        <w:left w:val="none" w:sz="0" w:space="0" w:color="auto"/>
        <w:bottom w:val="none" w:sz="0" w:space="0" w:color="auto"/>
        <w:right w:val="none" w:sz="0" w:space="0" w:color="auto"/>
      </w:divBdr>
    </w:div>
    <w:div w:id="1055277950">
      <w:bodyDiv w:val="1"/>
      <w:marLeft w:val="0"/>
      <w:marRight w:val="0"/>
      <w:marTop w:val="0"/>
      <w:marBottom w:val="0"/>
      <w:divBdr>
        <w:top w:val="none" w:sz="0" w:space="0" w:color="auto"/>
        <w:left w:val="none" w:sz="0" w:space="0" w:color="auto"/>
        <w:bottom w:val="none" w:sz="0" w:space="0" w:color="auto"/>
        <w:right w:val="none" w:sz="0" w:space="0" w:color="auto"/>
      </w:divBdr>
    </w:div>
    <w:div w:id="1060396886">
      <w:bodyDiv w:val="1"/>
      <w:marLeft w:val="0"/>
      <w:marRight w:val="0"/>
      <w:marTop w:val="0"/>
      <w:marBottom w:val="0"/>
      <w:divBdr>
        <w:top w:val="none" w:sz="0" w:space="0" w:color="auto"/>
        <w:left w:val="none" w:sz="0" w:space="0" w:color="auto"/>
        <w:bottom w:val="none" w:sz="0" w:space="0" w:color="auto"/>
        <w:right w:val="none" w:sz="0" w:space="0" w:color="auto"/>
      </w:divBdr>
    </w:div>
    <w:div w:id="1083573636">
      <w:bodyDiv w:val="1"/>
      <w:marLeft w:val="0"/>
      <w:marRight w:val="0"/>
      <w:marTop w:val="0"/>
      <w:marBottom w:val="0"/>
      <w:divBdr>
        <w:top w:val="none" w:sz="0" w:space="0" w:color="auto"/>
        <w:left w:val="none" w:sz="0" w:space="0" w:color="auto"/>
        <w:bottom w:val="none" w:sz="0" w:space="0" w:color="auto"/>
        <w:right w:val="none" w:sz="0" w:space="0" w:color="auto"/>
      </w:divBdr>
    </w:div>
    <w:div w:id="1094014942">
      <w:bodyDiv w:val="1"/>
      <w:marLeft w:val="0"/>
      <w:marRight w:val="0"/>
      <w:marTop w:val="0"/>
      <w:marBottom w:val="0"/>
      <w:divBdr>
        <w:top w:val="none" w:sz="0" w:space="0" w:color="auto"/>
        <w:left w:val="none" w:sz="0" w:space="0" w:color="auto"/>
        <w:bottom w:val="none" w:sz="0" w:space="0" w:color="auto"/>
        <w:right w:val="none" w:sz="0" w:space="0" w:color="auto"/>
      </w:divBdr>
    </w:div>
    <w:div w:id="1096097417">
      <w:bodyDiv w:val="1"/>
      <w:marLeft w:val="0"/>
      <w:marRight w:val="0"/>
      <w:marTop w:val="0"/>
      <w:marBottom w:val="0"/>
      <w:divBdr>
        <w:top w:val="none" w:sz="0" w:space="0" w:color="auto"/>
        <w:left w:val="none" w:sz="0" w:space="0" w:color="auto"/>
        <w:bottom w:val="none" w:sz="0" w:space="0" w:color="auto"/>
        <w:right w:val="none" w:sz="0" w:space="0" w:color="auto"/>
      </w:divBdr>
    </w:div>
    <w:div w:id="1101757638">
      <w:bodyDiv w:val="1"/>
      <w:marLeft w:val="0"/>
      <w:marRight w:val="0"/>
      <w:marTop w:val="0"/>
      <w:marBottom w:val="0"/>
      <w:divBdr>
        <w:top w:val="none" w:sz="0" w:space="0" w:color="auto"/>
        <w:left w:val="none" w:sz="0" w:space="0" w:color="auto"/>
        <w:bottom w:val="none" w:sz="0" w:space="0" w:color="auto"/>
        <w:right w:val="none" w:sz="0" w:space="0" w:color="auto"/>
      </w:divBdr>
    </w:div>
    <w:div w:id="1102801854">
      <w:bodyDiv w:val="1"/>
      <w:marLeft w:val="0"/>
      <w:marRight w:val="0"/>
      <w:marTop w:val="0"/>
      <w:marBottom w:val="0"/>
      <w:divBdr>
        <w:top w:val="none" w:sz="0" w:space="0" w:color="auto"/>
        <w:left w:val="none" w:sz="0" w:space="0" w:color="auto"/>
        <w:bottom w:val="none" w:sz="0" w:space="0" w:color="auto"/>
        <w:right w:val="none" w:sz="0" w:space="0" w:color="auto"/>
      </w:divBdr>
    </w:div>
    <w:div w:id="1119683508">
      <w:bodyDiv w:val="1"/>
      <w:marLeft w:val="0"/>
      <w:marRight w:val="0"/>
      <w:marTop w:val="0"/>
      <w:marBottom w:val="0"/>
      <w:divBdr>
        <w:top w:val="none" w:sz="0" w:space="0" w:color="auto"/>
        <w:left w:val="none" w:sz="0" w:space="0" w:color="auto"/>
        <w:bottom w:val="none" w:sz="0" w:space="0" w:color="auto"/>
        <w:right w:val="none" w:sz="0" w:space="0" w:color="auto"/>
      </w:divBdr>
    </w:div>
    <w:div w:id="1127818439">
      <w:bodyDiv w:val="1"/>
      <w:marLeft w:val="0"/>
      <w:marRight w:val="0"/>
      <w:marTop w:val="0"/>
      <w:marBottom w:val="0"/>
      <w:divBdr>
        <w:top w:val="none" w:sz="0" w:space="0" w:color="auto"/>
        <w:left w:val="none" w:sz="0" w:space="0" w:color="auto"/>
        <w:bottom w:val="none" w:sz="0" w:space="0" w:color="auto"/>
        <w:right w:val="none" w:sz="0" w:space="0" w:color="auto"/>
      </w:divBdr>
    </w:div>
    <w:div w:id="1149057811">
      <w:bodyDiv w:val="1"/>
      <w:marLeft w:val="0"/>
      <w:marRight w:val="0"/>
      <w:marTop w:val="0"/>
      <w:marBottom w:val="0"/>
      <w:divBdr>
        <w:top w:val="none" w:sz="0" w:space="0" w:color="auto"/>
        <w:left w:val="none" w:sz="0" w:space="0" w:color="auto"/>
        <w:bottom w:val="none" w:sz="0" w:space="0" w:color="auto"/>
        <w:right w:val="none" w:sz="0" w:space="0" w:color="auto"/>
      </w:divBdr>
      <w:divsChild>
        <w:div w:id="1063329199">
          <w:marLeft w:val="0"/>
          <w:marRight w:val="0"/>
          <w:marTop w:val="0"/>
          <w:marBottom w:val="0"/>
          <w:divBdr>
            <w:top w:val="none" w:sz="0" w:space="0" w:color="auto"/>
            <w:left w:val="none" w:sz="0" w:space="0" w:color="auto"/>
            <w:bottom w:val="none" w:sz="0" w:space="0" w:color="auto"/>
            <w:right w:val="none" w:sz="0" w:space="0" w:color="auto"/>
          </w:divBdr>
        </w:div>
      </w:divsChild>
    </w:div>
    <w:div w:id="1157375844">
      <w:bodyDiv w:val="1"/>
      <w:marLeft w:val="0"/>
      <w:marRight w:val="0"/>
      <w:marTop w:val="0"/>
      <w:marBottom w:val="0"/>
      <w:divBdr>
        <w:top w:val="none" w:sz="0" w:space="0" w:color="auto"/>
        <w:left w:val="none" w:sz="0" w:space="0" w:color="auto"/>
        <w:bottom w:val="none" w:sz="0" w:space="0" w:color="auto"/>
        <w:right w:val="none" w:sz="0" w:space="0" w:color="auto"/>
      </w:divBdr>
    </w:div>
    <w:div w:id="1173960163">
      <w:bodyDiv w:val="1"/>
      <w:marLeft w:val="0"/>
      <w:marRight w:val="0"/>
      <w:marTop w:val="0"/>
      <w:marBottom w:val="0"/>
      <w:divBdr>
        <w:top w:val="none" w:sz="0" w:space="0" w:color="auto"/>
        <w:left w:val="none" w:sz="0" w:space="0" w:color="auto"/>
        <w:bottom w:val="none" w:sz="0" w:space="0" w:color="auto"/>
        <w:right w:val="none" w:sz="0" w:space="0" w:color="auto"/>
      </w:divBdr>
    </w:div>
    <w:div w:id="1181243919">
      <w:bodyDiv w:val="1"/>
      <w:marLeft w:val="0"/>
      <w:marRight w:val="0"/>
      <w:marTop w:val="0"/>
      <w:marBottom w:val="0"/>
      <w:divBdr>
        <w:top w:val="none" w:sz="0" w:space="0" w:color="auto"/>
        <w:left w:val="none" w:sz="0" w:space="0" w:color="auto"/>
        <w:bottom w:val="none" w:sz="0" w:space="0" w:color="auto"/>
        <w:right w:val="none" w:sz="0" w:space="0" w:color="auto"/>
      </w:divBdr>
    </w:div>
    <w:div w:id="1182820707">
      <w:bodyDiv w:val="1"/>
      <w:marLeft w:val="0"/>
      <w:marRight w:val="0"/>
      <w:marTop w:val="0"/>
      <w:marBottom w:val="0"/>
      <w:divBdr>
        <w:top w:val="none" w:sz="0" w:space="0" w:color="auto"/>
        <w:left w:val="none" w:sz="0" w:space="0" w:color="auto"/>
        <w:bottom w:val="none" w:sz="0" w:space="0" w:color="auto"/>
        <w:right w:val="none" w:sz="0" w:space="0" w:color="auto"/>
      </w:divBdr>
    </w:div>
    <w:div w:id="1216510157">
      <w:bodyDiv w:val="1"/>
      <w:marLeft w:val="0"/>
      <w:marRight w:val="0"/>
      <w:marTop w:val="0"/>
      <w:marBottom w:val="0"/>
      <w:divBdr>
        <w:top w:val="none" w:sz="0" w:space="0" w:color="auto"/>
        <w:left w:val="none" w:sz="0" w:space="0" w:color="auto"/>
        <w:bottom w:val="none" w:sz="0" w:space="0" w:color="auto"/>
        <w:right w:val="none" w:sz="0" w:space="0" w:color="auto"/>
      </w:divBdr>
    </w:div>
    <w:div w:id="1247879538">
      <w:bodyDiv w:val="1"/>
      <w:marLeft w:val="0"/>
      <w:marRight w:val="0"/>
      <w:marTop w:val="0"/>
      <w:marBottom w:val="0"/>
      <w:divBdr>
        <w:top w:val="none" w:sz="0" w:space="0" w:color="auto"/>
        <w:left w:val="none" w:sz="0" w:space="0" w:color="auto"/>
        <w:bottom w:val="none" w:sz="0" w:space="0" w:color="auto"/>
        <w:right w:val="none" w:sz="0" w:space="0" w:color="auto"/>
      </w:divBdr>
    </w:div>
    <w:div w:id="1262295699">
      <w:bodyDiv w:val="1"/>
      <w:marLeft w:val="0"/>
      <w:marRight w:val="0"/>
      <w:marTop w:val="0"/>
      <w:marBottom w:val="0"/>
      <w:divBdr>
        <w:top w:val="none" w:sz="0" w:space="0" w:color="auto"/>
        <w:left w:val="none" w:sz="0" w:space="0" w:color="auto"/>
        <w:bottom w:val="none" w:sz="0" w:space="0" w:color="auto"/>
        <w:right w:val="none" w:sz="0" w:space="0" w:color="auto"/>
      </w:divBdr>
    </w:div>
    <w:div w:id="1270238598">
      <w:bodyDiv w:val="1"/>
      <w:marLeft w:val="0"/>
      <w:marRight w:val="0"/>
      <w:marTop w:val="0"/>
      <w:marBottom w:val="0"/>
      <w:divBdr>
        <w:top w:val="none" w:sz="0" w:space="0" w:color="auto"/>
        <w:left w:val="none" w:sz="0" w:space="0" w:color="auto"/>
        <w:bottom w:val="none" w:sz="0" w:space="0" w:color="auto"/>
        <w:right w:val="none" w:sz="0" w:space="0" w:color="auto"/>
      </w:divBdr>
    </w:div>
    <w:div w:id="1271820455">
      <w:bodyDiv w:val="1"/>
      <w:marLeft w:val="0"/>
      <w:marRight w:val="0"/>
      <w:marTop w:val="0"/>
      <w:marBottom w:val="0"/>
      <w:divBdr>
        <w:top w:val="none" w:sz="0" w:space="0" w:color="auto"/>
        <w:left w:val="none" w:sz="0" w:space="0" w:color="auto"/>
        <w:bottom w:val="none" w:sz="0" w:space="0" w:color="auto"/>
        <w:right w:val="none" w:sz="0" w:space="0" w:color="auto"/>
      </w:divBdr>
    </w:div>
    <w:div w:id="1273367657">
      <w:bodyDiv w:val="1"/>
      <w:marLeft w:val="0"/>
      <w:marRight w:val="0"/>
      <w:marTop w:val="0"/>
      <w:marBottom w:val="0"/>
      <w:divBdr>
        <w:top w:val="none" w:sz="0" w:space="0" w:color="auto"/>
        <w:left w:val="none" w:sz="0" w:space="0" w:color="auto"/>
        <w:bottom w:val="none" w:sz="0" w:space="0" w:color="auto"/>
        <w:right w:val="none" w:sz="0" w:space="0" w:color="auto"/>
      </w:divBdr>
    </w:div>
    <w:div w:id="1287151912">
      <w:bodyDiv w:val="1"/>
      <w:marLeft w:val="0"/>
      <w:marRight w:val="0"/>
      <w:marTop w:val="0"/>
      <w:marBottom w:val="0"/>
      <w:divBdr>
        <w:top w:val="none" w:sz="0" w:space="0" w:color="auto"/>
        <w:left w:val="none" w:sz="0" w:space="0" w:color="auto"/>
        <w:bottom w:val="none" w:sz="0" w:space="0" w:color="auto"/>
        <w:right w:val="none" w:sz="0" w:space="0" w:color="auto"/>
      </w:divBdr>
    </w:div>
    <w:div w:id="1298602789">
      <w:bodyDiv w:val="1"/>
      <w:marLeft w:val="0"/>
      <w:marRight w:val="0"/>
      <w:marTop w:val="0"/>
      <w:marBottom w:val="0"/>
      <w:divBdr>
        <w:top w:val="none" w:sz="0" w:space="0" w:color="auto"/>
        <w:left w:val="none" w:sz="0" w:space="0" w:color="auto"/>
        <w:bottom w:val="none" w:sz="0" w:space="0" w:color="auto"/>
        <w:right w:val="none" w:sz="0" w:space="0" w:color="auto"/>
      </w:divBdr>
    </w:div>
    <w:div w:id="1312560906">
      <w:bodyDiv w:val="1"/>
      <w:marLeft w:val="0"/>
      <w:marRight w:val="0"/>
      <w:marTop w:val="0"/>
      <w:marBottom w:val="0"/>
      <w:divBdr>
        <w:top w:val="none" w:sz="0" w:space="0" w:color="auto"/>
        <w:left w:val="none" w:sz="0" w:space="0" w:color="auto"/>
        <w:bottom w:val="none" w:sz="0" w:space="0" w:color="auto"/>
        <w:right w:val="none" w:sz="0" w:space="0" w:color="auto"/>
      </w:divBdr>
    </w:div>
    <w:div w:id="1384711933">
      <w:bodyDiv w:val="1"/>
      <w:marLeft w:val="0"/>
      <w:marRight w:val="0"/>
      <w:marTop w:val="0"/>
      <w:marBottom w:val="0"/>
      <w:divBdr>
        <w:top w:val="none" w:sz="0" w:space="0" w:color="auto"/>
        <w:left w:val="none" w:sz="0" w:space="0" w:color="auto"/>
        <w:bottom w:val="none" w:sz="0" w:space="0" w:color="auto"/>
        <w:right w:val="none" w:sz="0" w:space="0" w:color="auto"/>
      </w:divBdr>
    </w:div>
    <w:div w:id="1386024710">
      <w:bodyDiv w:val="1"/>
      <w:marLeft w:val="0"/>
      <w:marRight w:val="0"/>
      <w:marTop w:val="0"/>
      <w:marBottom w:val="0"/>
      <w:divBdr>
        <w:top w:val="none" w:sz="0" w:space="0" w:color="auto"/>
        <w:left w:val="none" w:sz="0" w:space="0" w:color="auto"/>
        <w:bottom w:val="none" w:sz="0" w:space="0" w:color="auto"/>
        <w:right w:val="none" w:sz="0" w:space="0" w:color="auto"/>
      </w:divBdr>
    </w:div>
    <w:div w:id="1387215584">
      <w:bodyDiv w:val="1"/>
      <w:marLeft w:val="0"/>
      <w:marRight w:val="0"/>
      <w:marTop w:val="0"/>
      <w:marBottom w:val="0"/>
      <w:divBdr>
        <w:top w:val="none" w:sz="0" w:space="0" w:color="auto"/>
        <w:left w:val="none" w:sz="0" w:space="0" w:color="auto"/>
        <w:bottom w:val="none" w:sz="0" w:space="0" w:color="auto"/>
        <w:right w:val="none" w:sz="0" w:space="0" w:color="auto"/>
      </w:divBdr>
    </w:div>
    <w:div w:id="1408110150">
      <w:bodyDiv w:val="1"/>
      <w:marLeft w:val="0"/>
      <w:marRight w:val="0"/>
      <w:marTop w:val="0"/>
      <w:marBottom w:val="0"/>
      <w:divBdr>
        <w:top w:val="none" w:sz="0" w:space="0" w:color="auto"/>
        <w:left w:val="none" w:sz="0" w:space="0" w:color="auto"/>
        <w:bottom w:val="none" w:sz="0" w:space="0" w:color="auto"/>
        <w:right w:val="none" w:sz="0" w:space="0" w:color="auto"/>
      </w:divBdr>
    </w:div>
    <w:div w:id="1410225632">
      <w:bodyDiv w:val="1"/>
      <w:marLeft w:val="0"/>
      <w:marRight w:val="0"/>
      <w:marTop w:val="0"/>
      <w:marBottom w:val="0"/>
      <w:divBdr>
        <w:top w:val="none" w:sz="0" w:space="0" w:color="auto"/>
        <w:left w:val="none" w:sz="0" w:space="0" w:color="auto"/>
        <w:bottom w:val="none" w:sz="0" w:space="0" w:color="auto"/>
        <w:right w:val="none" w:sz="0" w:space="0" w:color="auto"/>
      </w:divBdr>
    </w:div>
    <w:div w:id="1417745841">
      <w:bodyDiv w:val="1"/>
      <w:marLeft w:val="0"/>
      <w:marRight w:val="0"/>
      <w:marTop w:val="0"/>
      <w:marBottom w:val="0"/>
      <w:divBdr>
        <w:top w:val="none" w:sz="0" w:space="0" w:color="auto"/>
        <w:left w:val="none" w:sz="0" w:space="0" w:color="auto"/>
        <w:bottom w:val="none" w:sz="0" w:space="0" w:color="auto"/>
        <w:right w:val="none" w:sz="0" w:space="0" w:color="auto"/>
      </w:divBdr>
    </w:div>
    <w:div w:id="1437289305">
      <w:bodyDiv w:val="1"/>
      <w:marLeft w:val="0"/>
      <w:marRight w:val="0"/>
      <w:marTop w:val="0"/>
      <w:marBottom w:val="0"/>
      <w:divBdr>
        <w:top w:val="none" w:sz="0" w:space="0" w:color="auto"/>
        <w:left w:val="none" w:sz="0" w:space="0" w:color="auto"/>
        <w:bottom w:val="none" w:sz="0" w:space="0" w:color="auto"/>
        <w:right w:val="none" w:sz="0" w:space="0" w:color="auto"/>
      </w:divBdr>
    </w:div>
    <w:div w:id="1443959304">
      <w:bodyDiv w:val="1"/>
      <w:marLeft w:val="0"/>
      <w:marRight w:val="0"/>
      <w:marTop w:val="0"/>
      <w:marBottom w:val="0"/>
      <w:divBdr>
        <w:top w:val="none" w:sz="0" w:space="0" w:color="auto"/>
        <w:left w:val="none" w:sz="0" w:space="0" w:color="auto"/>
        <w:bottom w:val="none" w:sz="0" w:space="0" w:color="auto"/>
        <w:right w:val="none" w:sz="0" w:space="0" w:color="auto"/>
      </w:divBdr>
    </w:div>
    <w:div w:id="1461221277">
      <w:bodyDiv w:val="1"/>
      <w:marLeft w:val="0"/>
      <w:marRight w:val="0"/>
      <w:marTop w:val="0"/>
      <w:marBottom w:val="0"/>
      <w:divBdr>
        <w:top w:val="none" w:sz="0" w:space="0" w:color="auto"/>
        <w:left w:val="none" w:sz="0" w:space="0" w:color="auto"/>
        <w:bottom w:val="none" w:sz="0" w:space="0" w:color="auto"/>
        <w:right w:val="none" w:sz="0" w:space="0" w:color="auto"/>
      </w:divBdr>
    </w:div>
    <w:div w:id="1462265542">
      <w:bodyDiv w:val="1"/>
      <w:marLeft w:val="0"/>
      <w:marRight w:val="0"/>
      <w:marTop w:val="0"/>
      <w:marBottom w:val="0"/>
      <w:divBdr>
        <w:top w:val="none" w:sz="0" w:space="0" w:color="auto"/>
        <w:left w:val="none" w:sz="0" w:space="0" w:color="auto"/>
        <w:bottom w:val="none" w:sz="0" w:space="0" w:color="auto"/>
        <w:right w:val="none" w:sz="0" w:space="0" w:color="auto"/>
      </w:divBdr>
    </w:div>
    <w:div w:id="1472090898">
      <w:bodyDiv w:val="1"/>
      <w:marLeft w:val="0"/>
      <w:marRight w:val="0"/>
      <w:marTop w:val="0"/>
      <w:marBottom w:val="0"/>
      <w:divBdr>
        <w:top w:val="none" w:sz="0" w:space="0" w:color="auto"/>
        <w:left w:val="none" w:sz="0" w:space="0" w:color="auto"/>
        <w:bottom w:val="none" w:sz="0" w:space="0" w:color="auto"/>
        <w:right w:val="none" w:sz="0" w:space="0" w:color="auto"/>
      </w:divBdr>
    </w:div>
    <w:div w:id="1473134824">
      <w:bodyDiv w:val="1"/>
      <w:marLeft w:val="0"/>
      <w:marRight w:val="0"/>
      <w:marTop w:val="0"/>
      <w:marBottom w:val="0"/>
      <w:divBdr>
        <w:top w:val="none" w:sz="0" w:space="0" w:color="auto"/>
        <w:left w:val="none" w:sz="0" w:space="0" w:color="auto"/>
        <w:bottom w:val="none" w:sz="0" w:space="0" w:color="auto"/>
        <w:right w:val="none" w:sz="0" w:space="0" w:color="auto"/>
      </w:divBdr>
    </w:div>
    <w:div w:id="1475298790">
      <w:bodyDiv w:val="1"/>
      <w:marLeft w:val="0"/>
      <w:marRight w:val="0"/>
      <w:marTop w:val="0"/>
      <w:marBottom w:val="0"/>
      <w:divBdr>
        <w:top w:val="none" w:sz="0" w:space="0" w:color="auto"/>
        <w:left w:val="none" w:sz="0" w:space="0" w:color="auto"/>
        <w:bottom w:val="none" w:sz="0" w:space="0" w:color="auto"/>
        <w:right w:val="none" w:sz="0" w:space="0" w:color="auto"/>
      </w:divBdr>
    </w:div>
    <w:div w:id="1487552708">
      <w:bodyDiv w:val="1"/>
      <w:marLeft w:val="0"/>
      <w:marRight w:val="0"/>
      <w:marTop w:val="0"/>
      <w:marBottom w:val="0"/>
      <w:divBdr>
        <w:top w:val="none" w:sz="0" w:space="0" w:color="auto"/>
        <w:left w:val="none" w:sz="0" w:space="0" w:color="auto"/>
        <w:bottom w:val="none" w:sz="0" w:space="0" w:color="auto"/>
        <w:right w:val="none" w:sz="0" w:space="0" w:color="auto"/>
      </w:divBdr>
    </w:div>
    <w:div w:id="1497765161">
      <w:bodyDiv w:val="1"/>
      <w:marLeft w:val="0"/>
      <w:marRight w:val="0"/>
      <w:marTop w:val="0"/>
      <w:marBottom w:val="0"/>
      <w:divBdr>
        <w:top w:val="none" w:sz="0" w:space="0" w:color="auto"/>
        <w:left w:val="none" w:sz="0" w:space="0" w:color="auto"/>
        <w:bottom w:val="none" w:sz="0" w:space="0" w:color="auto"/>
        <w:right w:val="none" w:sz="0" w:space="0" w:color="auto"/>
      </w:divBdr>
    </w:div>
    <w:div w:id="1499420412">
      <w:bodyDiv w:val="1"/>
      <w:marLeft w:val="0"/>
      <w:marRight w:val="0"/>
      <w:marTop w:val="0"/>
      <w:marBottom w:val="0"/>
      <w:divBdr>
        <w:top w:val="none" w:sz="0" w:space="0" w:color="auto"/>
        <w:left w:val="none" w:sz="0" w:space="0" w:color="auto"/>
        <w:bottom w:val="none" w:sz="0" w:space="0" w:color="auto"/>
        <w:right w:val="none" w:sz="0" w:space="0" w:color="auto"/>
      </w:divBdr>
    </w:div>
    <w:div w:id="1508247873">
      <w:bodyDiv w:val="1"/>
      <w:marLeft w:val="0"/>
      <w:marRight w:val="0"/>
      <w:marTop w:val="0"/>
      <w:marBottom w:val="0"/>
      <w:divBdr>
        <w:top w:val="none" w:sz="0" w:space="0" w:color="auto"/>
        <w:left w:val="none" w:sz="0" w:space="0" w:color="auto"/>
        <w:bottom w:val="none" w:sz="0" w:space="0" w:color="auto"/>
        <w:right w:val="none" w:sz="0" w:space="0" w:color="auto"/>
      </w:divBdr>
    </w:div>
    <w:div w:id="1512792240">
      <w:bodyDiv w:val="1"/>
      <w:marLeft w:val="0"/>
      <w:marRight w:val="0"/>
      <w:marTop w:val="0"/>
      <w:marBottom w:val="0"/>
      <w:divBdr>
        <w:top w:val="none" w:sz="0" w:space="0" w:color="auto"/>
        <w:left w:val="none" w:sz="0" w:space="0" w:color="auto"/>
        <w:bottom w:val="none" w:sz="0" w:space="0" w:color="auto"/>
        <w:right w:val="none" w:sz="0" w:space="0" w:color="auto"/>
      </w:divBdr>
    </w:div>
    <w:div w:id="1517159982">
      <w:bodyDiv w:val="1"/>
      <w:marLeft w:val="0"/>
      <w:marRight w:val="0"/>
      <w:marTop w:val="0"/>
      <w:marBottom w:val="0"/>
      <w:divBdr>
        <w:top w:val="none" w:sz="0" w:space="0" w:color="auto"/>
        <w:left w:val="none" w:sz="0" w:space="0" w:color="auto"/>
        <w:bottom w:val="none" w:sz="0" w:space="0" w:color="auto"/>
        <w:right w:val="none" w:sz="0" w:space="0" w:color="auto"/>
      </w:divBdr>
    </w:div>
    <w:div w:id="1527870151">
      <w:bodyDiv w:val="1"/>
      <w:marLeft w:val="0"/>
      <w:marRight w:val="0"/>
      <w:marTop w:val="0"/>
      <w:marBottom w:val="0"/>
      <w:divBdr>
        <w:top w:val="none" w:sz="0" w:space="0" w:color="auto"/>
        <w:left w:val="none" w:sz="0" w:space="0" w:color="auto"/>
        <w:bottom w:val="none" w:sz="0" w:space="0" w:color="auto"/>
        <w:right w:val="none" w:sz="0" w:space="0" w:color="auto"/>
      </w:divBdr>
    </w:div>
    <w:div w:id="1527910271">
      <w:bodyDiv w:val="1"/>
      <w:marLeft w:val="0"/>
      <w:marRight w:val="0"/>
      <w:marTop w:val="0"/>
      <w:marBottom w:val="0"/>
      <w:divBdr>
        <w:top w:val="none" w:sz="0" w:space="0" w:color="auto"/>
        <w:left w:val="none" w:sz="0" w:space="0" w:color="auto"/>
        <w:bottom w:val="none" w:sz="0" w:space="0" w:color="auto"/>
        <w:right w:val="none" w:sz="0" w:space="0" w:color="auto"/>
      </w:divBdr>
    </w:div>
    <w:div w:id="1556501107">
      <w:bodyDiv w:val="1"/>
      <w:marLeft w:val="0"/>
      <w:marRight w:val="0"/>
      <w:marTop w:val="0"/>
      <w:marBottom w:val="0"/>
      <w:divBdr>
        <w:top w:val="none" w:sz="0" w:space="0" w:color="auto"/>
        <w:left w:val="none" w:sz="0" w:space="0" w:color="auto"/>
        <w:bottom w:val="none" w:sz="0" w:space="0" w:color="auto"/>
        <w:right w:val="none" w:sz="0" w:space="0" w:color="auto"/>
      </w:divBdr>
    </w:div>
    <w:div w:id="1558973508">
      <w:bodyDiv w:val="1"/>
      <w:marLeft w:val="0"/>
      <w:marRight w:val="0"/>
      <w:marTop w:val="0"/>
      <w:marBottom w:val="0"/>
      <w:divBdr>
        <w:top w:val="none" w:sz="0" w:space="0" w:color="auto"/>
        <w:left w:val="none" w:sz="0" w:space="0" w:color="auto"/>
        <w:bottom w:val="none" w:sz="0" w:space="0" w:color="auto"/>
        <w:right w:val="none" w:sz="0" w:space="0" w:color="auto"/>
      </w:divBdr>
    </w:div>
    <w:div w:id="1560051381">
      <w:bodyDiv w:val="1"/>
      <w:marLeft w:val="0"/>
      <w:marRight w:val="0"/>
      <w:marTop w:val="0"/>
      <w:marBottom w:val="0"/>
      <w:divBdr>
        <w:top w:val="none" w:sz="0" w:space="0" w:color="auto"/>
        <w:left w:val="none" w:sz="0" w:space="0" w:color="auto"/>
        <w:bottom w:val="none" w:sz="0" w:space="0" w:color="auto"/>
        <w:right w:val="none" w:sz="0" w:space="0" w:color="auto"/>
      </w:divBdr>
    </w:div>
    <w:div w:id="1561788594">
      <w:bodyDiv w:val="1"/>
      <w:marLeft w:val="0"/>
      <w:marRight w:val="0"/>
      <w:marTop w:val="0"/>
      <w:marBottom w:val="0"/>
      <w:divBdr>
        <w:top w:val="none" w:sz="0" w:space="0" w:color="auto"/>
        <w:left w:val="none" w:sz="0" w:space="0" w:color="auto"/>
        <w:bottom w:val="none" w:sz="0" w:space="0" w:color="auto"/>
        <w:right w:val="none" w:sz="0" w:space="0" w:color="auto"/>
      </w:divBdr>
    </w:div>
    <w:div w:id="1591086631">
      <w:bodyDiv w:val="1"/>
      <w:marLeft w:val="0"/>
      <w:marRight w:val="0"/>
      <w:marTop w:val="0"/>
      <w:marBottom w:val="0"/>
      <w:divBdr>
        <w:top w:val="none" w:sz="0" w:space="0" w:color="auto"/>
        <w:left w:val="none" w:sz="0" w:space="0" w:color="auto"/>
        <w:bottom w:val="none" w:sz="0" w:space="0" w:color="auto"/>
        <w:right w:val="none" w:sz="0" w:space="0" w:color="auto"/>
      </w:divBdr>
    </w:div>
    <w:div w:id="1624187583">
      <w:bodyDiv w:val="1"/>
      <w:marLeft w:val="0"/>
      <w:marRight w:val="0"/>
      <w:marTop w:val="0"/>
      <w:marBottom w:val="0"/>
      <w:divBdr>
        <w:top w:val="none" w:sz="0" w:space="0" w:color="auto"/>
        <w:left w:val="none" w:sz="0" w:space="0" w:color="auto"/>
        <w:bottom w:val="none" w:sz="0" w:space="0" w:color="auto"/>
        <w:right w:val="none" w:sz="0" w:space="0" w:color="auto"/>
      </w:divBdr>
    </w:div>
    <w:div w:id="1640186213">
      <w:bodyDiv w:val="1"/>
      <w:marLeft w:val="0"/>
      <w:marRight w:val="0"/>
      <w:marTop w:val="0"/>
      <w:marBottom w:val="0"/>
      <w:divBdr>
        <w:top w:val="none" w:sz="0" w:space="0" w:color="auto"/>
        <w:left w:val="none" w:sz="0" w:space="0" w:color="auto"/>
        <w:bottom w:val="none" w:sz="0" w:space="0" w:color="auto"/>
        <w:right w:val="none" w:sz="0" w:space="0" w:color="auto"/>
      </w:divBdr>
    </w:div>
    <w:div w:id="1648435853">
      <w:bodyDiv w:val="1"/>
      <w:marLeft w:val="0"/>
      <w:marRight w:val="0"/>
      <w:marTop w:val="0"/>
      <w:marBottom w:val="0"/>
      <w:divBdr>
        <w:top w:val="none" w:sz="0" w:space="0" w:color="auto"/>
        <w:left w:val="none" w:sz="0" w:space="0" w:color="auto"/>
        <w:bottom w:val="none" w:sz="0" w:space="0" w:color="auto"/>
        <w:right w:val="none" w:sz="0" w:space="0" w:color="auto"/>
      </w:divBdr>
    </w:div>
    <w:div w:id="1682077572">
      <w:bodyDiv w:val="1"/>
      <w:marLeft w:val="0"/>
      <w:marRight w:val="0"/>
      <w:marTop w:val="0"/>
      <w:marBottom w:val="0"/>
      <w:divBdr>
        <w:top w:val="none" w:sz="0" w:space="0" w:color="auto"/>
        <w:left w:val="none" w:sz="0" w:space="0" w:color="auto"/>
        <w:bottom w:val="none" w:sz="0" w:space="0" w:color="auto"/>
        <w:right w:val="none" w:sz="0" w:space="0" w:color="auto"/>
      </w:divBdr>
    </w:div>
    <w:div w:id="1729303896">
      <w:bodyDiv w:val="1"/>
      <w:marLeft w:val="0"/>
      <w:marRight w:val="0"/>
      <w:marTop w:val="0"/>
      <w:marBottom w:val="0"/>
      <w:divBdr>
        <w:top w:val="none" w:sz="0" w:space="0" w:color="auto"/>
        <w:left w:val="none" w:sz="0" w:space="0" w:color="auto"/>
        <w:bottom w:val="none" w:sz="0" w:space="0" w:color="auto"/>
        <w:right w:val="none" w:sz="0" w:space="0" w:color="auto"/>
      </w:divBdr>
    </w:div>
    <w:div w:id="1759255099">
      <w:bodyDiv w:val="1"/>
      <w:marLeft w:val="0"/>
      <w:marRight w:val="0"/>
      <w:marTop w:val="0"/>
      <w:marBottom w:val="0"/>
      <w:divBdr>
        <w:top w:val="none" w:sz="0" w:space="0" w:color="auto"/>
        <w:left w:val="none" w:sz="0" w:space="0" w:color="auto"/>
        <w:bottom w:val="none" w:sz="0" w:space="0" w:color="auto"/>
        <w:right w:val="none" w:sz="0" w:space="0" w:color="auto"/>
      </w:divBdr>
    </w:div>
    <w:div w:id="1762066713">
      <w:bodyDiv w:val="1"/>
      <w:marLeft w:val="0"/>
      <w:marRight w:val="0"/>
      <w:marTop w:val="0"/>
      <w:marBottom w:val="0"/>
      <w:divBdr>
        <w:top w:val="none" w:sz="0" w:space="0" w:color="auto"/>
        <w:left w:val="none" w:sz="0" w:space="0" w:color="auto"/>
        <w:bottom w:val="none" w:sz="0" w:space="0" w:color="auto"/>
        <w:right w:val="none" w:sz="0" w:space="0" w:color="auto"/>
      </w:divBdr>
    </w:div>
    <w:div w:id="1772429887">
      <w:bodyDiv w:val="1"/>
      <w:marLeft w:val="0"/>
      <w:marRight w:val="0"/>
      <w:marTop w:val="0"/>
      <w:marBottom w:val="0"/>
      <w:divBdr>
        <w:top w:val="none" w:sz="0" w:space="0" w:color="auto"/>
        <w:left w:val="none" w:sz="0" w:space="0" w:color="auto"/>
        <w:bottom w:val="none" w:sz="0" w:space="0" w:color="auto"/>
        <w:right w:val="none" w:sz="0" w:space="0" w:color="auto"/>
      </w:divBdr>
    </w:div>
    <w:div w:id="1789540070">
      <w:bodyDiv w:val="1"/>
      <w:marLeft w:val="0"/>
      <w:marRight w:val="0"/>
      <w:marTop w:val="0"/>
      <w:marBottom w:val="0"/>
      <w:divBdr>
        <w:top w:val="none" w:sz="0" w:space="0" w:color="auto"/>
        <w:left w:val="none" w:sz="0" w:space="0" w:color="auto"/>
        <w:bottom w:val="none" w:sz="0" w:space="0" w:color="auto"/>
        <w:right w:val="none" w:sz="0" w:space="0" w:color="auto"/>
      </w:divBdr>
    </w:div>
    <w:div w:id="1804541127">
      <w:bodyDiv w:val="1"/>
      <w:marLeft w:val="0"/>
      <w:marRight w:val="0"/>
      <w:marTop w:val="0"/>
      <w:marBottom w:val="0"/>
      <w:divBdr>
        <w:top w:val="none" w:sz="0" w:space="0" w:color="auto"/>
        <w:left w:val="none" w:sz="0" w:space="0" w:color="auto"/>
        <w:bottom w:val="none" w:sz="0" w:space="0" w:color="auto"/>
        <w:right w:val="none" w:sz="0" w:space="0" w:color="auto"/>
      </w:divBdr>
    </w:div>
    <w:div w:id="1826508091">
      <w:bodyDiv w:val="1"/>
      <w:marLeft w:val="0"/>
      <w:marRight w:val="0"/>
      <w:marTop w:val="0"/>
      <w:marBottom w:val="0"/>
      <w:divBdr>
        <w:top w:val="none" w:sz="0" w:space="0" w:color="auto"/>
        <w:left w:val="none" w:sz="0" w:space="0" w:color="auto"/>
        <w:bottom w:val="none" w:sz="0" w:space="0" w:color="auto"/>
        <w:right w:val="none" w:sz="0" w:space="0" w:color="auto"/>
      </w:divBdr>
    </w:div>
    <w:div w:id="1834370480">
      <w:bodyDiv w:val="1"/>
      <w:marLeft w:val="0"/>
      <w:marRight w:val="0"/>
      <w:marTop w:val="0"/>
      <w:marBottom w:val="0"/>
      <w:divBdr>
        <w:top w:val="none" w:sz="0" w:space="0" w:color="auto"/>
        <w:left w:val="none" w:sz="0" w:space="0" w:color="auto"/>
        <w:bottom w:val="none" w:sz="0" w:space="0" w:color="auto"/>
        <w:right w:val="none" w:sz="0" w:space="0" w:color="auto"/>
      </w:divBdr>
    </w:div>
    <w:div w:id="1840539557">
      <w:bodyDiv w:val="1"/>
      <w:marLeft w:val="0"/>
      <w:marRight w:val="0"/>
      <w:marTop w:val="0"/>
      <w:marBottom w:val="0"/>
      <w:divBdr>
        <w:top w:val="none" w:sz="0" w:space="0" w:color="auto"/>
        <w:left w:val="none" w:sz="0" w:space="0" w:color="auto"/>
        <w:bottom w:val="none" w:sz="0" w:space="0" w:color="auto"/>
        <w:right w:val="none" w:sz="0" w:space="0" w:color="auto"/>
      </w:divBdr>
    </w:div>
    <w:div w:id="1845968850">
      <w:bodyDiv w:val="1"/>
      <w:marLeft w:val="0"/>
      <w:marRight w:val="0"/>
      <w:marTop w:val="0"/>
      <w:marBottom w:val="0"/>
      <w:divBdr>
        <w:top w:val="none" w:sz="0" w:space="0" w:color="auto"/>
        <w:left w:val="none" w:sz="0" w:space="0" w:color="auto"/>
        <w:bottom w:val="none" w:sz="0" w:space="0" w:color="auto"/>
        <w:right w:val="none" w:sz="0" w:space="0" w:color="auto"/>
      </w:divBdr>
    </w:div>
    <w:div w:id="1853762328">
      <w:bodyDiv w:val="1"/>
      <w:marLeft w:val="0"/>
      <w:marRight w:val="0"/>
      <w:marTop w:val="0"/>
      <w:marBottom w:val="0"/>
      <w:divBdr>
        <w:top w:val="none" w:sz="0" w:space="0" w:color="auto"/>
        <w:left w:val="none" w:sz="0" w:space="0" w:color="auto"/>
        <w:bottom w:val="none" w:sz="0" w:space="0" w:color="auto"/>
        <w:right w:val="none" w:sz="0" w:space="0" w:color="auto"/>
      </w:divBdr>
    </w:div>
    <w:div w:id="1865245136">
      <w:bodyDiv w:val="1"/>
      <w:marLeft w:val="0"/>
      <w:marRight w:val="0"/>
      <w:marTop w:val="0"/>
      <w:marBottom w:val="0"/>
      <w:divBdr>
        <w:top w:val="none" w:sz="0" w:space="0" w:color="auto"/>
        <w:left w:val="none" w:sz="0" w:space="0" w:color="auto"/>
        <w:bottom w:val="none" w:sz="0" w:space="0" w:color="auto"/>
        <w:right w:val="none" w:sz="0" w:space="0" w:color="auto"/>
      </w:divBdr>
    </w:div>
    <w:div w:id="1872643281">
      <w:bodyDiv w:val="1"/>
      <w:marLeft w:val="0"/>
      <w:marRight w:val="0"/>
      <w:marTop w:val="0"/>
      <w:marBottom w:val="0"/>
      <w:divBdr>
        <w:top w:val="none" w:sz="0" w:space="0" w:color="auto"/>
        <w:left w:val="none" w:sz="0" w:space="0" w:color="auto"/>
        <w:bottom w:val="none" w:sz="0" w:space="0" w:color="auto"/>
        <w:right w:val="none" w:sz="0" w:space="0" w:color="auto"/>
      </w:divBdr>
    </w:div>
    <w:div w:id="1885091505">
      <w:bodyDiv w:val="1"/>
      <w:marLeft w:val="0"/>
      <w:marRight w:val="0"/>
      <w:marTop w:val="0"/>
      <w:marBottom w:val="0"/>
      <w:divBdr>
        <w:top w:val="none" w:sz="0" w:space="0" w:color="auto"/>
        <w:left w:val="none" w:sz="0" w:space="0" w:color="auto"/>
        <w:bottom w:val="none" w:sz="0" w:space="0" w:color="auto"/>
        <w:right w:val="none" w:sz="0" w:space="0" w:color="auto"/>
      </w:divBdr>
    </w:div>
    <w:div w:id="1914074044">
      <w:bodyDiv w:val="1"/>
      <w:marLeft w:val="0"/>
      <w:marRight w:val="0"/>
      <w:marTop w:val="0"/>
      <w:marBottom w:val="0"/>
      <w:divBdr>
        <w:top w:val="none" w:sz="0" w:space="0" w:color="auto"/>
        <w:left w:val="none" w:sz="0" w:space="0" w:color="auto"/>
        <w:bottom w:val="none" w:sz="0" w:space="0" w:color="auto"/>
        <w:right w:val="none" w:sz="0" w:space="0" w:color="auto"/>
      </w:divBdr>
    </w:div>
    <w:div w:id="1931087829">
      <w:bodyDiv w:val="1"/>
      <w:marLeft w:val="0"/>
      <w:marRight w:val="0"/>
      <w:marTop w:val="0"/>
      <w:marBottom w:val="0"/>
      <w:divBdr>
        <w:top w:val="none" w:sz="0" w:space="0" w:color="auto"/>
        <w:left w:val="none" w:sz="0" w:space="0" w:color="auto"/>
        <w:bottom w:val="none" w:sz="0" w:space="0" w:color="auto"/>
        <w:right w:val="none" w:sz="0" w:space="0" w:color="auto"/>
      </w:divBdr>
    </w:div>
    <w:div w:id="1941522621">
      <w:bodyDiv w:val="1"/>
      <w:marLeft w:val="0"/>
      <w:marRight w:val="0"/>
      <w:marTop w:val="0"/>
      <w:marBottom w:val="0"/>
      <w:divBdr>
        <w:top w:val="none" w:sz="0" w:space="0" w:color="auto"/>
        <w:left w:val="none" w:sz="0" w:space="0" w:color="auto"/>
        <w:bottom w:val="none" w:sz="0" w:space="0" w:color="auto"/>
        <w:right w:val="none" w:sz="0" w:space="0" w:color="auto"/>
      </w:divBdr>
    </w:div>
    <w:div w:id="1942564937">
      <w:bodyDiv w:val="1"/>
      <w:marLeft w:val="0"/>
      <w:marRight w:val="0"/>
      <w:marTop w:val="0"/>
      <w:marBottom w:val="0"/>
      <w:divBdr>
        <w:top w:val="none" w:sz="0" w:space="0" w:color="auto"/>
        <w:left w:val="none" w:sz="0" w:space="0" w:color="auto"/>
        <w:bottom w:val="none" w:sz="0" w:space="0" w:color="auto"/>
        <w:right w:val="none" w:sz="0" w:space="0" w:color="auto"/>
      </w:divBdr>
    </w:div>
    <w:div w:id="1946813108">
      <w:bodyDiv w:val="1"/>
      <w:marLeft w:val="0"/>
      <w:marRight w:val="0"/>
      <w:marTop w:val="0"/>
      <w:marBottom w:val="0"/>
      <w:divBdr>
        <w:top w:val="none" w:sz="0" w:space="0" w:color="auto"/>
        <w:left w:val="none" w:sz="0" w:space="0" w:color="auto"/>
        <w:bottom w:val="none" w:sz="0" w:space="0" w:color="auto"/>
        <w:right w:val="none" w:sz="0" w:space="0" w:color="auto"/>
      </w:divBdr>
    </w:div>
    <w:div w:id="1972859730">
      <w:bodyDiv w:val="1"/>
      <w:marLeft w:val="0"/>
      <w:marRight w:val="0"/>
      <w:marTop w:val="0"/>
      <w:marBottom w:val="0"/>
      <w:divBdr>
        <w:top w:val="none" w:sz="0" w:space="0" w:color="auto"/>
        <w:left w:val="none" w:sz="0" w:space="0" w:color="auto"/>
        <w:bottom w:val="none" w:sz="0" w:space="0" w:color="auto"/>
        <w:right w:val="none" w:sz="0" w:space="0" w:color="auto"/>
      </w:divBdr>
    </w:div>
    <w:div w:id="1992321309">
      <w:bodyDiv w:val="1"/>
      <w:marLeft w:val="0"/>
      <w:marRight w:val="0"/>
      <w:marTop w:val="0"/>
      <w:marBottom w:val="0"/>
      <w:divBdr>
        <w:top w:val="none" w:sz="0" w:space="0" w:color="auto"/>
        <w:left w:val="none" w:sz="0" w:space="0" w:color="auto"/>
        <w:bottom w:val="none" w:sz="0" w:space="0" w:color="auto"/>
        <w:right w:val="none" w:sz="0" w:space="0" w:color="auto"/>
      </w:divBdr>
    </w:div>
    <w:div w:id="2056536168">
      <w:bodyDiv w:val="1"/>
      <w:marLeft w:val="0"/>
      <w:marRight w:val="0"/>
      <w:marTop w:val="0"/>
      <w:marBottom w:val="0"/>
      <w:divBdr>
        <w:top w:val="none" w:sz="0" w:space="0" w:color="auto"/>
        <w:left w:val="none" w:sz="0" w:space="0" w:color="auto"/>
        <w:bottom w:val="none" w:sz="0" w:space="0" w:color="auto"/>
        <w:right w:val="none" w:sz="0" w:space="0" w:color="auto"/>
      </w:divBdr>
    </w:div>
    <w:div w:id="2074423795">
      <w:bodyDiv w:val="1"/>
      <w:marLeft w:val="0"/>
      <w:marRight w:val="0"/>
      <w:marTop w:val="0"/>
      <w:marBottom w:val="0"/>
      <w:divBdr>
        <w:top w:val="none" w:sz="0" w:space="0" w:color="auto"/>
        <w:left w:val="none" w:sz="0" w:space="0" w:color="auto"/>
        <w:bottom w:val="none" w:sz="0" w:space="0" w:color="auto"/>
        <w:right w:val="none" w:sz="0" w:space="0" w:color="auto"/>
      </w:divBdr>
    </w:div>
    <w:div w:id="2075885468">
      <w:bodyDiv w:val="1"/>
      <w:marLeft w:val="0"/>
      <w:marRight w:val="0"/>
      <w:marTop w:val="0"/>
      <w:marBottom w:val="0"/>
      <w:divBdr>
        <w:top w:val="none" w:sz="0" w:space="0" w:color="auto"/>
        <w:left w:val="none" w:sz="0" w:space="0" w:color="auto"/>
        <w:bottom w:val="none" w:sz="0" w:space="0" w:color="auto"/>
        <w:right w:val="none" w:sz="0" w:space="0" w:color="auto"/>
      </w:divBdr>
    </w:div>
    <w:div w:id="2116514595">
      <w:bodyDiv w:val="1"/>
      <w:marLeft w:val="0"/>
      <w:marRight w:val="0"/>
      <w:marTop w:val="0"/>
      <w:marBottom w:val="0"/>
      <w:divBdr>
        <w:top w:val="none" w:sz="0" w:space="0" w:color="auto"/>
        <w:left w:val="none" w:sz="0" w:space="0" w:color="auto"/>
        <w:bottom w:val="none" w:sz="0" w:space="0" w:color="auto"/>
        <w:right w:val="none" w:sz="0" w:space="0" w:color="auto"/>
      </w:divBdr>
    </w:div>
    <w:div w:id="2128429122">
      <w:bodyDiv w:val="1"/>
      <w:marLeft w:val="0"/>
      <w:marRight w:val="0"/>
      <w:marTop w:val="0"/>
      <w:marBottom w:val="0"/>
      <w:divBdr>
        <w:top w:val="none" w:sz="0" w:space="0" w:color="auto"/>
        <w:left w:val="none" w:sz="0" w:space="0" w:color="auto"/>
        <w:bottom w:val="none" w:sz="0" w:space="0" w:color="auto"/>
        <w:right w:val="none" w:sz="0" w:space="0" w:color="auto"/>
      </w:divBdr>
    </w:div>
    <w:div w:id="214218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hei.ikeda@ntt.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shota.kita@tt.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673C39DC314974B8A7CF9201B0E0AB"/>
        <w:category>
          <w:name w:val="全般"/>
          <w:gallery w:val="placeholder"/>
        </w:category>
        <w:types>
          <w:type w:val="bbPlcHdr"/>
        </w:types>
        <w:behaviors>
          <w:behavior w:val="content"/>
        </w:behaviors>
        <w:guid w:val="{B2CFBF12-9376-4683-AFB8-CEC9CF66393F}"/>
      </w:docPartPr>
      <w:docPartBody>
        <w:p w:rsidR="00A44C19" w:rsidRDefault="00283769" w:rsidP="00283769">
          <w:pPr>
            <w:pStyle w:val="9C673C39DC314974B8A7CF9201B0E0AB"/>
          </w:pPr>
          <w:r>
            <w:rPr>
              <w:rStyle w:val="a3"/>
              <w:rFonts w:hint="eastAsia"/>
            </w:rPr>
            <w:t>ここをクリックまたはタップしてテキストを入力してください。</w:t>
          </w:r>
        </w:p>
      </w:docPartBody>
    </w:docPart>
    <w:docPart>
      <w:docPartPr>
        <w:name w:val="DefaultPlaceholder_-1854013440"/>
        <w:category>
          <w:name w:val="全般"/>
          <w:gallery w:val="placeholder"/>
        </w:category>
        <w:types>
          <w:type w:val="bbPlcHdr"/>
        </w:types>
        <w:behaviors>
          <w:behavior w:val="content"/>
        </w:behaviors>
        <w:guid w:val="{13CBF58D-8619-481E-96D7-DF6FB66BDBCC}"/>
      </w:docPartPr>
      <w:docPartBody>
        <w:p w:rsidR="001A2CB4" w:rsidRDefault="00A44C19">
          <w:r w:rsidRPr="002715CA">
            <w:rPr>
              <w:rStyle w:val="a3"/>
            </w:rPr>
            <w:t>ここをクリックまたはタップしてテキストを入力してください。</w:t>
          </w:r>
        </w:p>
      </w:docPartBody>
    </w:docPart>
    <w:docPart>
      <w:docPartPr>
        <w:name w:val="60BBF776AE9F4B218B3B4665EEAF5678"/>
        <w:category>
          <w:name w:val="全般"/>
          <w:gallery w:val="placeholder"/>
        </w:category>
        <w:types>
          <w:type w:val="bbPlcHdr"/>
        </w:types>
        <w:behaviors>
          <w:behavior w:val="content"/>
        </w:behaviors>
        <w:guid w:val="{0217EB48-F94D-4B4D-9D9C-F13A4D3C45BC}"/>
      </w:docPartPr>
      <w:docPartBody>
        <w:p w:rsidR="001A2CB4" w:rsidRDefault="00A44C19" w:rsidP="00A44C19">
          <w:pPr>
            <w:pStyle w:val="60BBF776AE9F4B218B3B4665EEAF5678"/>
          </w:pPr>
          <w:r w:rsidRPr="002715CA">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69"/>
    <w:rsid w:val="001A2CB4"/>
    <w:rsid w:val="00283769"/>
    <w:rsid w:val="00284E18"/>
    <w:rsid w:val="002D008E"/>
    <w:rsid w:val="00316BCF"/>
    <w:rsid w:val="003519EC"/>
    <w:rsid w:val="003A5063"/>
    <w:rsid w:val="004635ED"/>
    <w:rsid w:val="00531195"/>
    <w:rsid w:val="006B7BA2"/>
    <w:rsid w:val="006F36AC"/>
    <w:rsid w:val="00741306"/>
    <w:rsid w:val="00805E1D"/>
    <w:rsid w:val="008A26AE"/>
    <w:rsid w:val="00964DAC"/>
    <w:rsid w:val="00A44C19"/>
    <w:rsid w:val="00B94CEC"/>
    <w:rsid w:val="00BE48CF"/>
    <w:rsid w:val="00C7063E"/>
    <w:rsid w:val="00C75717"/>
    <w:rsid w:val="00C87918"/>
    <w:rsid w:val="00CA0B6A"/>
    <w:rsid w:val="00CE3697"/>
    <w:rsid w:val="00D52A4B"/>
    <w:rsid w:val="00E22498"/>
    <w:rsid w:val="00E75396"/>
    <w:rsid w:val="00EC38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4C19"/>
    <w:rPr>
      <w:color w:val="666666"/>
    </w:rPr>
  </w:style>
  <w:style w:type="paragraph" w:customStyle="1" w:styleId="60BBF776AE9F4B218B3B4665EEAF5678">
    <w:name w:val="60BBF776AE9F4B218B3B4665EEAF5678"/>
    <w:rsid w:val="00A44C19"/>
    <w:pPr>
      <w:widowControl w:val="0"/>
    </w:pPr>
  </w:style>
  <w:style w:type="paragraph" w:customStyle="1" w:styleId="9C673C39DC314974B8A7CF9201B0E0AB">
    <w:name w:val="9C673C39DC314974B8A7CF9201B0E0AB"/>
    <w:rsid w:val="00283769"/>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7E7912-EE34-43CC-A497-F0A955CABD06}">
  <we:reference id="wa104380917" version="1.0.1.0" store="ja-JP"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3150E-82AF-4A6E-8DBC-9DFD42C1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3205</Words>
  <Characters>18944</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Shota Kita (NTT_RD)</dc:creator>
  <cp:keywords/>
  <dc:description/>
  <cp:lastModifiedBy>Shota Kita (NTT_RD)</cp:lastModifiedBy>
  <cp:revision>4</cp:revision>
  <cp:lastPrinted>2025-12-05T04:51:00Z</cp:lastPrinted>
  <dcterms:created xsi:type="dcterms:W3CDTF">2026-04-02T02:20:00Z</dcterms:created>
  <dcterms:modified xsi:type="dcterms:W3CDTF">2026-04-02T04:38:00Z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0463f2c6-9d3f-4554-a305-37af2157b522</vt:lpwstr>
  </property>
</Properties>
</file>