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C6037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6109064">
      <w:pPr>
        <w:pStyle w:val="8"/>
        <w:spacing w:line="360" w:lineRule="auto"/>
        <w:jc w:val="center"/>
        <w:rPr>
          <w:rFonts w:ascii="Times New Roman" w:hAnsi="Times New Roman"/>
          <w:color w:val="FF0000"/>
          <w:kern w:val="0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The impact of family size on preventive health behaviors: Evidence from older adults’ vaccination decisions in China</w:t>
      </w:r>
    </w:p>
    <w:p w14:paraId="0DA0710C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  <w:r>
        <w:rPr>
          <w:rFonts w:ascii="Times New Roman" w:hAnsi="Times New Roman"/>
          <w:kern w:val="0"/>
          <w:lang w:val="en-US"/>
        </w:rPr>
        <w:t>Submitted to the European Journal of Health Economics</w:t>
      </w:r>
    </w:p>
    <w:p w14:paraId="185B4F79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  <w:r>
        <w:rPr>
          <w:rFonts w:ascii="Times New Roman" w:hAnsi="Times New Roman"/>
          <w:kern w:val="0"/>
          <w:lang w:val="en-US"/>
        </w:rPr>
        <w:t xml:space="preserve">Author: </w:t>
      </w:r>
    </w:p>
    <w:p w14:paraId="4FB39256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  <w:r>
        <w:rPr>
          <w:rFonts w:hint="default" w:ascii="Times New Roman" w:hAnsi="Times New Roman"/>
          <w:kern w:val="0"/>
          <w:lang w:val="en-US"/>
        </w:rPr>
        <w:t xml:space="preserve">First Author: </w:t>
      </w:r>
      <w:r>
        <w:rPr>
          <w:rFonts w:ascii="Times New Roman" w:hAnsi="Times New Roman"/>
          <w:kern w:val="0"/>
          <w:lang w:val="en-US"/>
        </w:rPr>
        <w:t>Zhaoxue Ci</w:t>
      </w:r>
    </w:p>
    <w:p w14:paraId="586D9740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  <w:r>
        <w:rPr>
          <w:rFonts w:ascii="Times New Roman" w:hAnsi="Times New Roman"/>
          <w:kern w:val="0"/>
          <w:lang w:val="en-US"/>
        </w:rPr>
        <w:t>Wenlan School of Business, Research Centre of New Structural Economics, Zhongnan University of Economics and Law</w:t>
      </w:r>
    </w:p>
    <w:p w14:paraId="7F505B12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  <w:r>
        <w:rPr>
          <w:rFonts w:ascii="Times New Roman" w:hAnsi="Times New Roman"/>
          <w:kern w:val="0"/>
          <w:lang w:val="en-US"/>
        </w:rPr>
        <w:t>182# Nanhu Avenue, East Lake High-tech Development Zone, Wuhan, China</w:t>
      </w:r>
    </w:p>
    <w:p w14:paraId="064D9B23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  <w:r>
        <w:rPr>
          <w:rFonts w:ascii="Times New Roman" w:hAnsi="Times New Roman"/>
          <w:kern w:val="0"/>
          <w:lang w:val="en-US"/>
        </w:rPr>
        <w:t xml:space="preserve">Email: </w:t>
      </w:r>
      <w:r>
        <w:rPr>
          <w:rFonts w:ascii="Times New Roman" w:hAnsi="Times New Roman"/>
          <w:kern w:val="0"/>
          <w:lang w:val="en-US"/>
        </w:rPr>
        <w:fldChar w:fldCharType="begin"/>
      </w:r>
      <w:r>
        <w:rPr>
          <w:rFonts w:ascii="Times New Roman" w:hAnsi="Times New Roman"/>
          <w:kern w:val="0"/>
          <w:lang w:val="en-US"/>
        </w:rPr>
        <w:instrText xml:space="preserve"> HYPERLINK "mailto:zhaoxueci@hotmail.com" </w:instrText>
      </w:r>
      <w:r>
        <w:rPr>
          <w:rFonts w:ascii="Times New Roman" w:hAnsi="Times New Roman"/>
          <w:kern w:val="0"/>
          <w:lang w:val="en-US"/>
        </w:rPr>
        <w:fldChar w:fldCharType="separate"/>
      </w:r>
      <w:r>
        <w:rPr>
          <w:rStyle w:val="7"/>
          <w:rFonts w:ascii="Times New Roman" w:hAnsi="Times New Roman"/>
          <w:kern w:val="0"/>
          <w:lang w:val="en-US"/>
        </w:rPr>
        <w:t>zhaoxueci@hotmail.com</w:t>
      </w:r>
      <w:r>
        <w:rPr>
          <w:rFonts w:ascii="Times New Roman" w:hAnsi="Times New Roman"/>
          <w:kern w:val="0"/>
          <w:lang w:val="en-US"/>
        </w:rPr>
        <w:fldChar w:fldCharType="end"/>
      </w:r>
    </w:p>
    <w:p w14:paraId="4EB616AF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</w:p>
    <w:p w14:paraId="5131C6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Corresponding Author: </w:t>
      </w:r>
      <w:bookmarkStart w:id="3" w:name="_GoBack"/>
      <w:bookmarkEnd w:id="3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Weijia Zhang</w:t>
      </w:r>
      <w:r>
        <w:rPr>
          <w:rFonts w:ascii="Times New Roman" w:hAnsi="Times New Roman" w:cs="Times New Roman"/>
          <w:sz w:val="24"/>
          <w:szCs w:val="24"/>
        </w:rPr>
        <w:t>, Ph.D.</w:t>
      </w:r>
    </w:p>
    <w:p w14:paraId="5D1AF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14:paraId="4BCB1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School of Mathematics and Statistics,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Chongqing Three Gorges University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Chongqing</w:t>
      </w:r>
      <w:r>
        <w:rPr>
          <w:rFonts w:ascii="Times New Roman" w:hAnsi="Times New Roman" w:cs="Times New Roman"/>
          <w:sz w:val="24"/>
          <w:szCs w:val="24"/>
        </w:rPr>
        <w:t>, China</w:t>
      </w:r>
    </w:p>
    <w:p w14:paraId="5A2619CE">
      <w:pPr>
        <w:pStyle w:val="8"/>
        <w:spacing w:line="360" w:lineRule="auto"/>
        <w:rPr>
          <w:rFonts w:ascii="Times New Roman" w:hAnsi="Times New Roman"/>
          <w:kern w:val="0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vivian_wzhang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163</w:t>
      </w:r>
      <w:r>
        <w:rPr>
          <w:rFonts w:ascii="Times New Roman" w:hAnsi="Times New Roman" w:cs="Times New Roman"/>
          <w:sz w:val="24"/>
          <w:szCs w:val="24"/>
        </w:rPr>
        <w:t xml:space="preserve">.com </w:t>
      </w:r>
    </w:p>
    <w:p w14:paraId="00584A28">
      <w:pPr>
        <w:pStyle w:val="8"/>
        <w:spacing w:line="360" w:lineRule="auto"/>
        <w:jc w:val="center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63185DDA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D7DDA24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227C6AF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5EA129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03D772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776905B7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6E7231D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BE2A3DC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F33EB0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Table A1: The correlation between PEI and other factors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413"/>
        <w:gridCol w:w="1493"/>
        <w:gridCol w:w="1255"/>
        <w:gridCol w:w="1453"/>
        <w:gridCol w:w="1519"/>
      </w:tblGrid>
      <w:tr w14:paraId="7457C467">
        <w:trPr>
          <w:trHeight w:val="488" w:hRule="atLeast"/>
          <w:jc w:val="center"/>
        </w:trPr>
        <w:tc>
          <w:tcPr>
            <w:tcW w:w="1420" w:type="dxa"/>
          </w:tcPr>
          <w:p w14:paraId="25CB22E3"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</w:tcPr>
          <w:p w14:paraId="7D0627A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Only have public health insurance</w:t>
            </w:r>
          </w:p>
        </w:tc>
        <w:tc>
          <w:tcPr>
            <w:tcW w:w="1512" w:type="dxa"/>
          </w:tcPr>
          <w:p w14:paraId="702CB6B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Only have commercial health insurance</w:t>
            </w:r>
          </w:p>
        </w:tc>
        <w:tc>
          <w:tcPr>
            <w:tcW w:w="1137" w:type="dxa"/>
          </w:tcPr>
          <w:p w14:paraId="034084D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Have either public or commercial health insurance</w:t>
            </w:r>
          </w:p>
        </w:tc>
        <w:tc>
          <w:tcPr>
            <w:tcW w:w="1477" w:type="dxa"/>
          </w:tcPr>
          <w:p w14:paraId="7E6A846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Family economics status at age 14</w:t>
            </w:r>
          </w:p>
        </w:tc>
        <w:tc>
          <w:tcPr>
            <w:tcW w:w="1535" w:type="dxa"/>
          </w:tcPr>
          <w:p w14:paraId="5765B82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Urban/Rural residency at age 14</w:t>
            </w:r>
          </w:p>
        </w:tc>
      </w:tr>
      <w:tr w14:paraId="038FAA8D">
        <w:trPr>
          <w:jc w:val="center"/>
        </w:trPr>
        <w:tc>
          <w:tcPr>
            <w:tcW w:w="1420" w:type="dxa"/>
            <w:tcBorders>
              <w:bottom w:val="single" w:color="auto" w:sz="4" w:space="0"/>
            </w:tcBorders>
          </w:tcPr>
          <w:p w14:paraId="6616A1BF">
            <w:pPr>
              <w:spacing w:after="0" w:line="24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tcBorders>
              <w:bottom w:val="single" w:color="auto" w:sz="4" w:space="0"/>
            </w:tcBorders>
          </w:tcPr>
          <w:p w14:paraId="0D47FFA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(1)</w:t>
            </w:r>
          </w:p>
        </w:tc>
        <w:tc>
          <w:tcPr>
            <w:tcW w:w="1512" w:type="dxa"/>
            <w:tcBorders>
              <w:bottom w:val="single" w:color="auto" w:sz="4" w:space="0"/>
            </w:tcBorders>
          </w:tcPr>
          <w:p w14:paraId="1E28107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(2)</w:t>
            </w:r>
          </w:p>
        </w:tc>
        <w:tc>
          <w:tcPr>
            <w:tcW w:w="1137" w:type="dxa"/>
            <w:tcBorders>
              <w:bottom w:val="single" w:color="auto" w:sz="4" w:space="0"/>
            </w:tcBorders>
          </w:tcPr>
          <w:p w14:paraId="49EEF3D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(3)</w:t>
            </w:r>
          </w:p>
        </w:tc>
        <w:tc>
          <w:tcPr>
            <w:tcW w:w="1477" w:type="dxa"/>
            <w:tcBorders>
              <w:bottom w:val="single" w:color="auto" w:sz="4" w:space="0"/>
            </w:tcBorders>
          </w:tcPr>
          <w:p w14:paraId="020BD0A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(4)</w:t>
            </w:r>
          </w:p>
        </w:tc>
        <w:tc>
          <w:tcPr>
            <w:tcW w:w="1535" w:type="dxa"/>
            <w:tcBorders>
              <w:bottom w:val="single" w:color="auto" w:sz="4" w:space="0"/>
            </w:tcBorders>
          </w:tcPr>
          <w:p w14:paraId="1A4FD44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(5)</w:t>
            </w:r>
          </w:p>
        </w:tc>
      </w:tr>
      <w:tr w14:paraId="6CD64795">
        <w:trPr>
          <w:jc w:val="center"/>
        </w:trPr>
        <w:tc>
          <w:tcPr>
            <w:tcW w:w="1420" w:type="dxa"/>
            <w:tcBorders>
              <w:top w:val="single" w:color="auto" w:sz="4" w:space="0"/>
            </w:tcBorders>
          </w:tcPr>
          <w:p w14:paraId="398E85E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PEI</w:t>
            </w:r>
          </w:p>
        </w:tc>
        <w:tc>
          <w:tcPr>
            <w:tcW w:w="1441" w:type="dxa"/>
            <w:tcBorders>
              <w:top w:val="single" w:color="auto" w:sz="4" w:space="0"/>
            </w:tcBorders>
          </w:tcPr>
          <w:p w14:paraId="2BB43FA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-0.0099</w:t>
            </w:r>
          </w:p>
          <w:p w14:paraId="3CFB5EE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0.0075</w:t>
            </w: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512" w:type="dxa"/>
            <w:tcBorders>
              <w:top w:val="single" w:color="auto" w:sz="4" w:space="0"/>
            </w:tcBorders>
          </w:tcPr>
          <w:p w14:paraId="1274D7A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0.0101</w:t>
            </w:r>
          </w:p>
          <w:p w14:paraId="2782E92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(0</w:t>
            </w: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.0094</w:t>
            </w: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37" w:type="dxa"/>
            <w:tcBorders>
              <w:top w:val="single" w:color="auto" w:sz="4" w:space="0"/>
            </w:tcBorders>
          </w:tcPr>
          <w:p w14:paraId="2F8008A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-0.0056</w:t>
            </w:r>
          </w:p>
          <w:p w14:paraId="453DC43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(0.0081)</w:t>
            </w:r>
          </w:p>
        </w:tc>
        <w:tc>
          <w:tcPr>
            <w:tcW w:w="1477" w:type="dxa"/>
            <w:tcBorders>
              <w:top w:val="single" w:color="auto" w:sz="4" w:space="0"/>
            </w:tcBorders>
          </w:tcPr>
          <w:p w14:paraId="643861A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-0.0669</w:t>
            </w:r>
          </w:p>
          <w:p w14:paraId="62080D2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(0.0617)</w:t>
            </w:r>
          </w:p>
        </w:tc>
        <w:tc>
          <w:tcPr>
            <w:tcW w:w="1535" w:type="dxa"/>
            <w:tcBorders>
              <w:top w:val="single" w:color="auto" w:sz="4" w:space="0"/>
            </w:tcBorders>
          </w:tcPr>
          <w:p w14:paraId="69EC785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0.0126</w:t>
            </w:r>
          </w:p>
          <w:p w14:paraId="2FD0804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(0.0162)</w:t>
            </w:r>
          </w:p>
        </w:tc>
      </w:tr>
      <w:tr w14:paraId="1AE47B7A">
        <w:trPr>
          <w:jc w:val="center"/>
        </w:trPr>
        <w:tc>
          <w:tcPr>
            <w:tcW w:w="1420" w:type="dxa"/>
          </w:tcPr>
          <w:p w14:paraId="738521E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441" w:type="dxa"/>
          </w:tcPr>
          <w:p w14:paraId="55718D3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12" w:type="dxa"/>
          </w:tcPr>
          <w:p w14:paraId="0043D7D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137" w:type="dxa"/>
          </w:tcPr>
          <w:p w14:paraId="349DD65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77" w:type="dxa"/>
          </w:tcPr>
          <w:p w14:paraId="45BC30E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35" w:type="dxa"/>
          </w:tcPr>
          <w:p w14:paraId="5FAD6AB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583CE98F">
        <w:trPr>
          <w:jc w:val="center"/>
        </w:trPr>
        <w:tc>
          <w:tcPr>
            <w:tcW w:w="1420" w:type="dxa"/>
          </w:tcPr>
          <w:p w14:paraId="4A61AE3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Age FE</w:t>
            </w:r>
          </w:p>
        </w:tc>
        <w:tc>
          <w:tcPr>
            <w:tcW w:w="1441" w:type="dxa"/>
          </w:tcPr>
          <w:p w14:paraId="20665FD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12" w:type="dxa"/>
          </w:tcPr>
          <w:p w14:paraId="12774A0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137" w:type="dxa"/>
          </w:tcPr>
          <w:p w14:paraId="3E3044B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77" w:type="dxa"/>
          </w:tcPr>
          <w:p w14:paraId="055F5AE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35" w:type="dxa"/>
          </w:tcPr>
          <w:p w14:paraId="362F863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1E41036F">
        <w:trPr>
          <w:jc w:val="center"/>
        </w:trPr>
        <w:tc>
          <w:tcPr>
            <w:tcW w:w="1420" w:type="dxa"/>
            <w:tcBorders>
              <w:bottom w:val="nil"/>
            </w:tcBorders>
          </w:tcPr>
          <w:p w14:paraId="33D8FD4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Province FE</w:t>
            </w:r>
          </w:p>
        </w:tc>
        <w:tc>
          <w:tcPr>
            <w:tcW w:w="1441" w:type="dxa"/>
            <w:tcBorders>
              <w:bottom w:val="nil"/>
            </w:tcBorders>
          </w:tcPr>
          <w:p w14:paraId="2679369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12" w:type="dxa"/>
            <w:tcBorders>
              <w:bottom w:val="nil"/>
            </w:tcBorders>
          </w:tcPr>
          <w:p w14:paraId="1330996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137" w:type="dxa"/>
            <w:tcBorders>
              <w:bottom w:val="nil"/>
            </w:tcBorders>
          </w:tcPr>
          <w:p w14:paraId="1C0E56F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77" w:type="dxa"/>
            <w:tcBorders>
              <w:bottom w:val="nil"/>
            </w:tcBorders>
          </w:tcPr>
          <w:p w14:paraId="4A7A982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535" w:type="dxa"/>
            <w:tcBorders>
              <w:bottom w:val="nil"/>
            </w:tcBorders>
          </w:tcPr>
          <w:p w14:paraId="5C2BFAC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77784C58">
        <w:trPr>
          <w:jc w:val="center"/>
        </w:trPr>
        <w:tc>
          <w:tcPr>
            <w:tcW w:w="1420" w:type="dxa"/>
            <w:tcBorders>
              <w:top w:val="nil"/>
              <w:bottom w:val="single" w:color="auto" w:sz="4" w:space="0"/>
            </w:tcBorders>
          </w:tcPr>
          <w:p w14:paraId="3F2D69F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441" w:type="dxa"/>
            <w:tcBorders>
              <w:top w:val="nil"/>
              <w:bottom w:val="single" w:color="auto" w:sz="4" w:space="0"/>
            </w:tcBorders>
          </w:tcPr>
          <w:p w14:paraId="4C468B0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2,289</w:t>
            </w:r>
          </w:p>
        </w:tc>
        <w:tc>
          <w:tcPr>
            <w:tcW w:w="1512" w:type="dxa"/>
            <w:tcBorders>
              <w:top w:val="nil"/>
              <w:bottom w:val="single" w:color="auto" w:sz="4" w:space="0"/>
            </w:tcBorders>
          </w:tcPr>
          <w:p w14:paraId="49519AF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971</w:t>
            </w:r>
          </w:p>
        </w:tc>
        <w:tc>
          <w:tcPr>
            <w:tcW w:w="1137" w:type="dxa"/>
            <w:tcBorders>
              <w:top w:val="nil"/>
              <w:bottom w:val="single" w:color="auto" w:sz="4" w:space="0"/>
            </w:tcBorders>
          </w:tcPr>
          <w:p w14:paraId="500089B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2,378</w:t>
            </w:r>
          </w:p>
        </w:tc>
        <w:tc>
          <w:tcPr>
            <w:tcW w:w="1477" w:type="dxa"/>
            <w:tcBorders>
              <w:top w:val="nil"/>
              <w:bottom w:val="single" w:color="auto" w:sz="4" w:space="0"/>
            </w:tcBorders>
          </w:tcPr>
          <w:p w14:paraId="5AB39BE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2,508</w:t>
            </w:r>
          </w:p>
        </w:tc>
        <w:tc>
          <w:tcPr>
            <w:tcW w:w="1535" w:type="dxa"/>
            <w:tcBorders>
              <w:top w:val="nil"/>
              <w:bottom w:val="single" w:color="auto" w:sz="4" w:space="0"/>
            </w:tcBorders>
          </w:tcPr>
          <w:p w14:paraId="3770A50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2,639</w:t>
            </w:r>
          </w:p>
        </w:tc>
      </w:tr>
    </w:tbl>
    <w:p w14:paraId="5D15B265">
      <w:pPr>
        <w:tabs>
          <w:tab w:val="left" w:pos="8789"/>
        </w:tabs>
        <w:spacing w:after="0" w:line="240" w:lineRule="auto"/>
        <w:ind w:right="84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Notes.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This table presents the correlation between the policy exposure index (PEI) and other factors that might influence people’s vaccine decisions. The dependent variable in column 1 equals 1 if the respondent is covered only by public health insurance, and 0 otherwise. In column 2, the dependent variable equals 1 if the respondent is covered only by commercial health insurance, and 0 otherwise. In column 3, the dependent variable equals 1 if the respondent is covered by either public or commercial health insurance, and 0 if uninsured. The dependent variable in column 4 is a categorical variable ranging from 1 to 10, with a greater value referring to a better family economic status. The dependent variable in column 5 is a dummy indicating whether the respondent lived in urban areas or not. Columns 1 and 2 include the following covariates: gender, education, per capita household income, rural/urban residency indicator, marital status, age fixed effects, and province fixed effects. Columns 3 and 4 control for gender, Hukou registration at age 14 (not in Column 4), cohort fixed effects, and province fixed effects. Robust standard errors adjusted for clustering on provinces are in parentheses.</w:t>
      </w:r>
    </w:p>
    <w:p w14:paraId="2469B239">
      <w:pPr>
        <w:tabs>
          <w:tab w:val="left" w:pos="8789"/>
        </w:tabs>
        <w:spacing w:after="0" w:line="240" w:lineRule="auto"/>
        <w:ind w:right="84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*p&lt;0.1; **p&lt;0.05; ***p&lt;0.01</w:t>
      </w:r>
    </w:p>
    <w:p w14:paraId="3DFDFCEA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C101CBC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5E55895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BFE39E">
      <w:pPr>
        <w:pStyle w:val="8"/>
        <w:spacing w:line="360" w:lineRule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EE356CE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C6E4C9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Table A2 </w:t>
      </w:r>
      <w:bookmarkStart w:id="0" w:name="_Hlk121838415"/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First-stage estimations for robustness checks</w:t>
      </w:r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599"/>
        <w:gridCol w:w="1493"/>
        <w:gridCol w:w="1540"/>
        <w:gridCol w:w="1225"/>
        <w:gridCol w:w="1268"/>
      </w:tblGrid>
      <w:tr w14:paraId="4BE56673">
        <w:trPr>
          <w:jc w:val="center"/>
        </w:trPr>
        <w:tc>
          <w:tcPr>
            <w:tcW w:w="1397" w:type="dxa"/>
            <w:tcBorders>
              <w:bottom w:val="single" w:color="auto" w:sz="4" w:space="0"/>
            </w:tcBorders>
            <w:vAlign w:val="center"/>
          </w:tcPr>
          <w:p w14:paraId="5843B52E">
            <w:pPr>
              <w:pStyle w:val="8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9" w:type="dxa"/>
            <w:tcBorders>
              <w:top w:val="single" w:color="auto" w:sz="4" w:space="0"/>
            </w:tcBorders>
          </w:tcPr>
          <w:p w14:paraId="064142CF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Keep predetermined characteristics</w:t>
            </w:r>
          </w:p>
          <w:p w14:paraId="36881C29">
            <w:pPr>
              <w:pStyle w:val="8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op w:val="single" w:color="auto" w:sz="4" w:space="0"/>
            </w:tcBorders>
          </w:tcPr>
          <w:p w14:paraId="1EAD1BD3">
            <w:pPr>
              <w:pStyle w:val="8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Measure children number by parity category</w:t>
            </w:r>
          </w:p>
        </w:tc>
        <w:tc>
          <w:tcPr>
            <w:tcW w:w="1540" w:type="dxa"/>
            <w:tcBorders>
              <w:top w:val="single" w:color="auto" w:sz="4" w:space="0"/>
            </w:tcBorders>
          </w:tcPr>
          <w:p w14:paraId="19DF963E">
            <w:pPr>
              <w:pStyle w:val="8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Only restrict respondents’ age&gt;=50</w:t>
            </w:r>
          </w:p>
        </w:tc>
        <w:tc>
          <w:tcPr>
            <w:tcW w:w="1225" w:type="dxa"/>
            <w:tcBorders>
              <w:top w:val="single" w:color="auto" w:sz="4" w:space="0"/>
            </w:tcBorders>
          </w:tcPr>
          <w:p w14:paraId="4D86E6A3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IV-OLS</w:t>
            </w:r>
          </w:p>
          <w:p w14:paraId="06642B7F">
            <w:pPr>
              <w:pStyle w:val="8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</w:tcBorders>
          </w:tcPr>
          <w:p w14:paraId="1333BA42">
            <w:pPr>
              <w:pStyle w:val="8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Willingness to vaccinate among those vaccinated</w:t>
            </w:r>
          </w:p>
        </w:tc>
      </w:tr>
      <w:tr w14:paraId="71C4DDC3">
        <w:trPr>
          <w:jc w:val="center"/>
        </w:trPr>
        <w:tc>
          <w:tcPr>
            <w:tcW w:w="13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983646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66F5DD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(1)</w:t>
            </w:r>
          </w:p>
        </w:tc>
        <w:tc>
          <w:tcPr>
            <w:tcW w:w="14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F328B5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(2)</w:t>
            </w:r>
          </w:p>
        </w:tc>
        <w:tc>
          <w:tcPr>
            <w:tcW w:w="1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F6D6053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(3)</w:t>
            </w:r>
          </w:p>
        </w:tc>
        <w:tc>
          <w:tcPr>
            <w:tcW w:w="1225" w:type="dxa"/>
            <w:tcBorders>
              <w:top w:val="single" w:color="auto" w:sz="4" w:space="0"/>
              <w:bottom w:val="single" w:color="auto" w:sz="4" w:space="0"/>
            </w:tcBorders>
          </w:tcPr>
          <w:p w14:paraId="32152F50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(4)</w:t>
            </w:r>
          </w:p>
        </w:tc>
        <w:tc>
          <w:tcPr>
            <w:tcW w:w="1268" w:type="dxa"/>
            <w:tcBorders>
              <w:top w:val="single" w:color="auto" w:sz="4" w:space="0"/>
              <w:bottom w:val="single" w:color="auto" w:sz="4" w:space="0"/>
            </w:tcBorders>
          </w:tcPr>
          <w:p w14:paraId="56B1D88E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(5)</w:t>
            </w:r>
          </w:p>
        </w:tc>
      </w:tr>
      <w:tr w14:paraId="5AC3D963">
        <w:trPr>
          <w:trHeight w:val="425" w:hRule="atLeast"/>
          <w:jc w:val="center"/>
        </w:trPr>
        <w:tc>
          <w:tcPr>
            <w:tcW w:w="1397" w:type="dxa"/>
            <w:tcBorders>
              <w:top w:val="single" w:color="auto" w:sz="4" w:space="0"/>
            </w:tcBorders>
            <w:vAlign w:val="center"/>
          </w:tcPr>
          <w:p w14:paraId="287C698B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PEI</w:t>
            </w:r>
          </w:p>
        </w:tc>
        <w:tc>
          <w:tcPr>
            <w:tcW w:w="1599" w:type="dxa"/>
            <w:tcBorders>
              <w:top w:val="single" w:color="auto" w:sz="4" w:space="0"/>
            </w:tcBorders>
          </w:tcPr>
          <w:p w14:paraId="47E9BBF5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-0.3518***</w:t>
            </w:r>
          </w:p>
          <w:p w14:paraId="6CDC8443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(0.0521)</w:t>
            </w:r>
          </w:p>
        </w:tc>
        <w:tc>
          <w:tcPr>
            <w:tcW w:w="1493" w:type="dxa"/>
            <w:tcBorders>
              <w:top w:val="single" w:color="auto" w:sz="4" w:space="0"/>
            </w:tcBorders>
          </w:tcPr>
          <w:p w14:paraId="62CAEB82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-0.0720***</w:t>
            </w:r>
          </w:p>
          <w:p w14:paraId="1DB9CD18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(0.0198)</w:t>
            </w:r>
          </w:p>
        </w:tc>
        <w:tc>
          <w:tcPr>
            <w:tcW w:w="1540" w:type="dxa"/>
            <w:tcBorders>
              <w:top w:val="single" w:color="auto" w:sz="4" w:space="0"/>
            </w:tcBorders>
          </w:tcPr>
          <w:p w14:paraId="7BFDD6A6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-0.3489***</w:t>
            </w:r>
          </w:p>
          <w:p w14:paraId="5420A2B4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(0.0543)</w:t>
            </w:r>
          </w:p>
        </w:tc>
        <w:tc>
          <w:tcPr>
            <w:tcW w:w="1225" w:type="dxa"/>
            <w:tcBorders>
              <w:top w:val="single" w:color="auto" w:sz="4" w:space="0"/>
            </w:tcBorders>
          </w:tcPr>
          <w:p w14:paraId="0419FACD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-0.3532***</w:t>
            </w:r>
          </w:p>
          <w:p w14:paraId="64DF04B1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(0.0516)</w:t>
            </w:r>
          </w:p>
        </w:tc>
        <w:tc>
          <w:tcPr>
            <w:tcW w:w="1268" w:type="dxa"/>
            <w:tcBorders>
              <w:top w:val="single" w:color="auto" w:sz="4" w:space="0"/>
            </w:tcBorders>
          </w:tcPr>
          <w:p w14:paraId="1153EDF1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-0.4898***</w:t>
            </w:r>
          </w:p>
          <w:p w14:paraId="0C364B46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(0.0999)</w:t>
            </w:r>
          </w:p>
        </w:tc>
      </w:tr>
      <w:tr w14:paraId="0652C6DB">
        <w:trPr>
          <w:trHeight w:val="425" w:hRule="atLeast"/>
          <w:jc w:val="center"/>
        </w:trPr>
        <w:tc>
          <w:tcPr>
            <w:tcW w:w="1397" w:type="dxa"/>
          </w:tcPr>
          <w:p w14:paraId="267788B4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Control </w:t>
            </w:r>
          </w:p>
        </w:tc>
        <w:tc>
          <w:tcPr>
            <w:tcW w:w="1599" w:type="dxa"/>
          </w:tcPr>
          <w:p w14:paraId="52C41DC8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493" w:type="dxa"/>
          </w:tcPr>
          <w:p w14:paraId="48B76AEE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540" w:type="dxa"/>
          </w:tcPr>
          <w:p w14:paraId="3F8E0E2B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225" w:type="dxa"/>
          </w:tcPr>
          <w:p w14:paraId="47C25C11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268" w:type="dxa"/>
          </w:tcPr>
          <w:p w14:paraId="07510B36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</w:tr>
      <w:tr w14:paraId="3D8CF39F">
        <w:trPr>
          <w:trHeight w:val="425" w:hRule="atLeast"/>
          <w:jc w:val="center"/>
        </w:trPr>
        <w:tc>
          <w:tcPr>
            <w:tcW w:w="1397" w:type="dxa"/>
          </w:tcPr>
          <w:p w14:paraId="30A36865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Age FE</w:t>
            </w:r>
          </w:p>
        </w:tc>
        <w:tc>
          <w:tcPr>
            <w:tcW w:w="1599" w:type="dxa"/>
          </w:tcPr>
          <w:p w14:paraId="07E8C44F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493" w:type="dxa"/>
          </w:tcPr>
          <w:p w14:paraId="07BFC778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540" w:type="dxa"/>
          </w:tcPr>
          <w:p w14:paraId="635405FB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225" w:type="dxa"/>
          </w:tcPr>
          <w:p w14:paraId="297661A6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268" w:type="dxa"/>
          </w:tcPr>
          <w:p w14:paraId="521EB9C4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</w:tr>
      <w:tr w14:paraId="00CEF39B">
        <w:trPr>
          <w:jc w:val="center"/>
        </w:trPr>
        <w:tc>
          <w:tcPr>
            <w:tcW w:w="1397" w:type="dxa"/>
          </w:tcPr>
          <w:p w14:paraId="636AFE31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Province FE</w:t>
            </w:r>
          </w:p>
        </w:tc>
        <w:tc>
          <w:tcPr>
            <w:tcW w:w="1599" w:type="dxa"/>
          </w:tcPr>
          <w:p w14:paraId="1AA67911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493" w:type="dxa"/>
          </w:tcPr>
          <w:p w14:paraId="7F7F3DCA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540" w:type="dxa"/>
          </w:tcPr>
          <w:p w14:paraId="4F726C90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225" w:type="dxa"/>
          </w:tcPr>
          <w:p w14:paraId="73BBA5A7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  <w:tc>
          <w:tcPr>
            <w:tcW w:w="1268" w:type="dxa"/>
          </w:tcPr>
          <w:p w14:paraId="708C0B44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Yes</w:t>
            </w:r>
          </w:p>
        </w:tc>
      </w:tr>
      <w:tr w14:paraId="5CAB382B">
        <w:trPr>
          <w:jc w:val="center"/>
        </w:trPr>
        <w:tc>
          <w:tcPr>
            <w:tcW w:w="1397" w:type="dxa"/>
          </w:tcPr>
          <w:p w14:paraId="763BC566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N</w:t>
            </w:r>
          </w:p>
        </w:tc>
        <w:tc>
          <w:tcPr>
            <w:tcW w:w="1599" w:type="dxa"/>
          </w:tcPr>
          <w:p w14:paraId="6E10C067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2,649</w:t>
            </w:r>
          </w:p>
        </w:tc>
        <w:tc>
          <w:tcPr>
            <w:tcW w:w="1493" w:type="dxa"/>
          </w:tcPr>
          <w:p w14:paraId="13B23445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2,649</w:t>
            </w:r>
          </w:p>
        </w:tc>
        <w:tc>
          <w:tcPr>
            <w:tcW w:w="1540" w:type="dxa"/>
          </w:tcPr>
          <w:p w14:paraId="368BF07E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2,781</w:t>
            </w:r>
          </w:p>
        </w:tc>
        <w:tc>
          <w:tcPr>
            <w:tcW w:w="1225" w:type="dxa"/>
          </w:tcPr>
          <w:p w14:paraId="3195D8CF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2,649</w:t>
            </w:r>
          </w:p>
        </w:tc>
        <w:tc>
          <w:tcPr>
            <w:tcW w:w="1268" w:type="dxa"/>
          </w:tcPr>
          <w:p w14:paraId="57714FD3">
            <w:pPr>
              <w:spacing w:after="0" w:line="240" w:lineRule="auto"/>
              <w:jc w:val="center"/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lang w:val="en-US"/>
                <w14:textFill>
                  <w14:solidFill>
                    <w14:schemeClr w14:val="tx1"/>
                  </w14:solidFill>
                </w14:textFill>
                <w14:ligatures w14:val="none"/>
              </w:rPr>
              <w:t>1,736</w:t>
            </w:r>
          </w:p>
        </w:tc>
      </w:tr>
    </w:tbl>
    <w:p w14:paraId="1FA275A4">
      <w:pPr>
        <w:spacing w:line="240" w:lineRule="auto"/>
        <w:ind w:right="4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Notes.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bookmarkStart w:id="1" w:name="OLE_LINK1"/>
      <w:bookmarkStart w:id="2" w:name="OLE_LINK2"/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This table reports the first-stage estimation results for the robustness checks. Column 1 includes gender, age fixed effects, and province fixed effects. Columns 2-4 include the following covariates: gender, education, per capita household income, rural/urban residency indicator, marital status, age fixed effects, and province fixed effects. In column 3, family size is defined as 1 for low parity (have one child), 2 for medium parity (have two to four children), and 3 for high parity (have more than four children). Column 4 presents results using the IV-OLS approach.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Dependent variable of column 5 is willingness to vaccinate among those actually vaccinated, a higher value refers to more willingness to vaccinate.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Robust standard errors adjusted for clustering on provinces are in parentheses.</w:t>
      </w:r>
      <w:bookmarkEnd w:id="1"/>
      <w:bookmarkEnd w:id="2"/>
    </w:p>
    <w:p w14:paraId="6C9B7C75">
      <w:pPr>
        <w:tabs>
          <w:tab w:val="left" w:pos="8789"/>
        </w:tabs>
        <w:spacing w:after="0" w:line="240" w:lineRule="auto"/>
        <w:ind w:right="84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*p&lt;0.1; **p&lt;0.05; ***p&lt;0.01</w:t>
      </w:r>
    </w:p>
    <w:p w14:paraId="6D3A4EAE">
      <w:pPr>
        <w:rPr>
          <w:rFonts w:ascii="Times New Roman" w:hAnsi="Times New Roman" w:eastAsia="DengXi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</w:p>
    <w:p w14:paraId="70E94D47">
      <w:pPr>
        <w:rPr>
          <w:rFonts w:ascii="Times New Roman" w:hAnsi="Times New Roman" w:eastAsia="DengXi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</w:p>
    <w:p w14:paraId="42EB50D5">
      <w:pPr>
        <w:rPr>
          <w:rFonts w:ascii="Times New Roman" w:hAnsi="Times New Roman" w:eastAsia="DengXi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</w:p>
    <w:p w14:paraId="61BA2A63">
      <w:pPr>
        <w:rPr>
          <w:rFonts w:ascii="Times New Roman" w:hAnsi="Times New Roman" w:eastAsia="DengXi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4690D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B300955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Table A3 First-stage estimations for heterogeneity analysis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268"/>
        <w:gridCol w:w="2268"/>
      </w:tblGrid>
      <w:tr w14:paraId="150CF6C7">
        <w:trPr>
          <w:jc w:val="center"/>
        </w:trPr>
        <w:tc>
          <w:tcPr>
            <w:tcW w:w="17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CE2F1AD">
            <w:pPr>
              <w:pStyle w:val="8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D091A4F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Number of children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</w:tcBorders>
          </w:tcPr>
          <w:p w14:paraId="514311C1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Number of children</w:t>
            </w:r>
          </w:p>
        </w:tc>
      </w:tr>
      <w:tr w14:paraId="1031BBCC">
        <w:trPr>
          <w:jc w:val="center"/>
        </w:trPr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D63E5B8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C708AE0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(1)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48C94B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(2)</w:t>
            </w:r>
          </w:p>
        </w:tc>
      </w:tr>
      <w:tr w14:paraId="5BA9B3D7">
        <w:trPr>
          <w:jc w:val="center"/>
        </w:trPr>
        <w:tc>
          <w:tcPr>
            <w:tcW w:w="626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EFE44FE">
            <w:pPr>
              <w:pStyle w:val="8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Panel A: Rural/Urban Residency</w:t>
            </w:r>
          </w:p>
        </w:tc>
      </w:tr>
      <w:tr w14:paraId="40C00888">
        <w:trPr>
          <w:jc w:val="center"/>
        </w:trPr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8652AB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C240EEF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E5DD4F9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</w:tr>
      <w:tr w14:paraId="70D9DFB0">
        <w:trPr>
          <w:jc w:val="center"/>
        </w:trPr>
        <w:tc>
          <w:tcPr>
            <w:tcW w:w="17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2142C77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PEI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AFA89A6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-0.4085***</w:t>
            </w:r>
          </w:p>
          <w:p w14:paraId="787F9CE3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(0.0866)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2B2ACC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-0.2728***</w:t>
            </w:r>
          </w:p>
          <w:p w14:paraId="2B9AE898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(0.0523)</w:t>
            </w:r>
          </w:p>
        </w:tc>
      </w:tr>
      <w:tr w14:paraId="3220BD95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1676649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Control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CBE86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9F377D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7910CD30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D15CAAE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Age FE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0D4EFA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9B978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0B6F7D26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C3E83F6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Province FE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5931A8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D2EA33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564CFA40">
        <w:trPr>
          <w:jc w:val="center"/>
        </w:trPr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49C9EA7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N 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77F3C04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1,254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72E4D01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1,395</w:t>
            </w:r>
          </w:p>
        </w:tc>
      </w:tr>
      <w:tr w14:paraId="65E5652B">
        <w:trPr>
          <w:jc w:val="center"/>
        </w:trPr>
        <w:tc>
          <w:tcPr>
            <w:tcW w:w="62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2294FC0">
            <w:pPr>
              <w:pStyle w:val="8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Panel B: Severity of Pandemic</w:t>
            </w:r>
          </w:p>
        </w:tc>
      </w:tr>
      <w:tr w14:paraId="46F8207C">
        <w:trPr>
          <w:jc w:val="center"/>
        </w:trPr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C671C7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BB7552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Provincial mortality ratio&lt;national average mortality 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9082D6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Provincial mortality ratio&gt;=national average mortality rate</w:t>
            </w:r>
          </w:p>
        </w:tc>
      </w:tr>
      <w:tr w14:paraId="497DB94B">
        <w:trPr>
          <w:jc w:val="center"/>
        </w:trPr>
        <w:tc>
          <w:tcPr>
            <w:tcW w:w="172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8031F99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PEI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ADFEF4B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-0.3098***</w:t>
            </w:r>
          </w:p>
          <w:p w14:paraId="2BEC11B9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(0.0808)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A70BB41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-0.3771***</w:t>
            </w:r>
          </w:p>
          <w:p w14:paraId="71CC664E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(0.0549)</w:t>
            </w:r>
          </w:p>
        </w:tc>
      </w:tr>
      <w:tr w14:paraId="7137CFBB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73A4EEE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Control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F2F4C1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A43FFF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42CD4A2E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5293EAF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Age FE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567BE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DBBC23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5410AB6C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0BDC093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Province FE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91970D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5CAAC8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1781632D">
        <w:trPr>
          <w:jc w:val="center"/>
        </w:trPr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8A39AC8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kern w:val="0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N 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75D3DC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1,274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E4D534D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1,375</w:t>
            </w:r>
          </w:p>
        </w:tc>
      </w:tr>
    </w:tbl>
    <w:p w14:paraId="75A8E479">
      <w:pPr>
        <w:spacing w:after="0" w:line="240" w:lineRule="auto"/>
        <w:ind w:left="993" w:right="1076"/>
        <w:rPr>
          <w:rFonts w:ascii="Times New Roman" w:hAnsi="Times New Roman" w:cs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 xml:space="preserve">Notes.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 xml:space="preserve">This table presents the first stage estimation results for the heterogeneity analysis. All regressions include the following covariates: gender, education, per capita household income, rural/urban residency indicator (Panel B only), marital status, age fixed effects, and province fixed effects. Robust standard errors adjusted for clustering on provinces are in parentheses. </w:t>
      </w:r>
    </w:p>
    <w:p w14:paraId="1BE4E346">
      <w:pPr>
        <w:spacing w:after="0" w:line="240" w:lineRule="auto"/>
        <w:ind w:left="993" w:right="1076"/>
        <w:rPr>
          <w:rFonts w:ascii="Times New Roman" w:hAnsi="Times New Roman" w:cs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*p&lt;0.1; **p&lt;0.05; ***p&lt;0.01</w:t>
      </w:r>
    </w:p>
    <w:p w14:paraId="5AEDB8F6">
      <w:pPr>
        <w:pStyle w:val="8"/>
        <w:ind w:left="720" w:right="746"/>
        <w:rPr>
          <w:rFonts w:ascii="Times New Roman" w:hAnsi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CDDAEF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FA84E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922619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AE8047">
      <w:pPr>
        <w:pStyle w:val="8"/>
        <w:spacing w:line="360" w:lineRule="auto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Table A4 First-stage estimations for mechanism</w:t>
      </w:r>
    </w:p>
    <w:tbl>
      <w:tblPr>
        <w:tblStyle w:val="9"/>
        <w:tblW w:w="510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871"/>
        <w:gridCol w:w="1872"/>
      </w:tblGrid>
      <w:tr w14:paraId="5AA3A153">
        <w:trPr>
          <w:jc w:val="center"/>
        </w:trPr>
        <w:tc>
          <w:tcPr>
            <w:tcW w:w="14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DB04D24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F8C48ED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Health Condition</w:t>
            </w:r>
          </w:p>
        </w:tc>
        <w:tc>
          <w:tcPr>
            <w:tcW w:w="20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3D686AF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Ineligible for vaccine</w:t>
            </w:r>
          </w:p>
        </w:tc>
      </w:tr>
      <w:tr w14:paraId="0D26A1C0">
        <w:trPr>
          <w:jc w:val="center"/>
        </w:trPr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AA9A758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985BCFA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(1)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AAF8CC6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(2)</w:t>
            </w:r>
          </w:p>
        </w:tc>
      </w:tr>
      <w:tr w14:paraId="1D3141DA">
        <w:trPr>
          <w:trHeight w:val="547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17E7EB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PEI</w:t>
            </w:r>
          </w:p>
        </w:tc>
        <w:tc>
          <w:tcPr>
            <w:tcW w:w="20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28D972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-0.3491***</w:t>
            </w:r>
          </w:p>
          <w:p w14:paraId="382AB14C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(0.0516)</w:t>
            </w:r>
          </w:p>
        </w:tc>
        <w:tc>
          <w:tcPr>
            <w:tcW w:w="20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8E08401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-0.3551***</w:t>
            </w:r>
          </w:p>
          <w:p w14:paraId="3834FA92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(0.0519)</w:t>
            </w:r>
          </w:p>
        </w:tc>
      </w:tr>
      <w:tr w14:paraId="3E509CF2">
        <w:trPr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05B81B8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Control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3047032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C50EE73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6E4F09FC">
        <w:trPr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35A1CEC6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Age FE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B865A1F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0C3C2916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5607F2C8">
        <w:trPr>
          <w:jc w:val="center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14:paraId="693EFB8F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Province FE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0459642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8A23EBC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789BE669">
        <w:trPr>
          <w:jc w:val="center"/>
        </w:trPr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C402DE2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2D058E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2,639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B3AD2E2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2,644</w:t>
            </w:r>
          </w:p>
        </w:tc>
      </w:tr>
    </w:tbl>
    <w:p w14:paraId="38120E5A">
      <w:pPr>
        <w:spacing w:after="0" w:line="240" w:lineRule="auto"/>
        <w:ind w:left="1701" w:right="1643"/>
        <w:rPr>
          <w:rFonts w:ascii="Times New Roman" w:hAnsi="Times New Roman" w:eastAsia="Times New Roman" w:cs="Times New Roman"/>
          <w:color w:val="000000" w:themeColor="text1"/>
          <w:kern w:val="0"/>
          <w:sz w:val="20"/>
          <w:szCs w:val="20"/>
          <w:lang w:val="en-US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 xml:space="preserve">Notes. </w:t>
      </w:r>
      <w:r>
        <w:rPr>
          <w:rFonts w:ascii="Times New Roman" w:hAnsi="Times New Roman" w:eastAsia="Times New Roman" w:cs="Times New Roman"/>
          <w:color w:val="000000" w:themeColor="text1"/>
          <w:kern w:val="0"/>
          <w:sz w:val="20"/>
          <w:szCs w:val="20"/>
          <w:lang w:val="en-US"/>
          <w14:textFill>
            <w14:solidFill>
              <w14:schemeClr w14:val="tx1"/>
            </w14:solidFill>
          </w14:textFill>
          <w14:ligatures w14:val="none"/>
        </w:rPr>
        <w:t xml:space="preserve">This table presents the first stage estimation results for mechanism. All regressions include the following covariates: gender, education, per capita household income, rural/urban residency indicator, marital status, age fixed effects, and province fixed effects. Robust standard errors adjusted for clustering on provinces are in parentheses. </w:t>
      </w:r>
    </w:p>
    <w:p w14:paraId="6B51E932">
      <w:pPr>
        <w:spacing w:after="0" w:line="240" w:lineRule="auto"/>
        <w:ind w:left="1701" w:right="1643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*p&lt;0.1; **p&lt;0.05; ***p&lt;0.01</w:t>
      </w:r>
    </w:p>
    <w:p w14:paraId="4C5F9387">
      <w:pPr>
        <w:spacing w:after="0" w:line="240" w:lineRule="auto"/>
        <w:ind w:left="1701" w:right="1643"/>
        <w:rPr>
          <w:rFonts w:ascii="Times New Roman" w:hAnsi="Times New Roman" w:eastAsia="Times New Roman" w:cs="Times New Roman"/>
          <w:color w:val="000000" w:themeColor="text1"/>
          <w:kern w:val="0"/>
          <w:sz w:val="20"/>
          <w:szCs w:val="20"/>
          <w:lang w:val="en-US"/>
          <w14:textFill>
            <w14:solidFill>
              <w14:schemeClr w14:val="tx1"/>
            </w14:solidFill>
          </w14:textFill>
          <w14:ligatures w14:val="none"/>
        </w:rPr>
      </w:pPr>
    </w:p>
    <w:p w14:paraId="76DBCB57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D06E2A2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CBDB36A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1F8693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Table A5: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First-stage estimations f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urther analysis</w:t>
      </w:r>
    </w:p>
    <w:tbl>
      <w:tblPr>
        <w:tblStyle w:val="5"/>
        <w:tblW w:w="861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238"/>
        <w:gridCol w:w="1252"/>
        <w:gridCol w:w="1303"/>
        <w:gridCol w:w="1272"/>
        <w:gridCol w:w="1276"/>
        <w:gridCol w:w="1275"/>
      </w:tblGrid>
      <w:tr w14:paraId="5994CCE5">
        <w:trPr>
          <w:jc w:val="center"/>
        </w:trPr>
        <w:tc>
          <w:tcPr>
            <w:tcW w:w="997" w:type="dxa"/>
            <w:tcBorders>
              <w:top w:val="single" w:color="auto" w:sz="4" w:space="0"/>
            </w:tcBorders>
          </w:tcPr>
          <w:p w14:paraId="597A836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78BB487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Removing ineligible respondents</w:t>
            </w:r>
          </w:p>
        </w:tc>
        <w:tc>
          <w:tcPr>
            <w:tcW w:w="1252" w:type="dxa"/>
            <w:tcBorders>
              <w:top w:val="single" w:color="auto" w:sz="4" w:space="0"/>
            </w:tcBorders>
          </w:tcPr>
          <w:p w14:paraId="4C0FE3A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Took flu shot last year</w:t>
            </w:r>
          </w:p>
        </w:tc>
        <w:tc>
          <w:tcPr>
            <w:tcW w:w="1303" w:type="dxa"/>
            <w:tcBorders>
              <w:top w:val="single" w:color="auto" w:sz="4" w:space="0"/>
            </w:tcBorders>
          </w:tcPr>
          <w:p w14:paraId="189C6FD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Physical examination</w:t>
            </w:r>
          </w:p>
        </w:tc>
        <w:tc>
          <w:tcPr>
            <w:tcW w:w="1272" w:type="dxa"/>
            <w:tcBorders>
              <w:top w:val="single" w:color="auto" w:sz="4" w:space="0"/>
            </w:tcBorders>
          </w:tcPr>
          <w:p w14:paraId="447AF7C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Contact frequency with family and friends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3C80460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Vaccination status if live with any child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 w14:paraId="200ACE3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Vaccination status if live alone</w:t>
            </w:r>
          </w:p>
        </w:tc>
      </w:tr>
      <w:tr w14:paraId="6683D625">
        <w:trPr>
          <w:jc w:val="center"/>
        </w:trPr>
        <w:tc>
          <w:tcPr>
            <w:tcW w:w="997" w:type="dxa"/>
            <w:tcBorders>
              <w:bottom w:val="single" w:color="auto" w:sz="4" w:space="0"/>
            </w:tcBorders>
          </w:tcPr>
          <w:p w14:paraId="3C8555A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tcBorders>
              <w:bottom w:val="single" w:color="auto" w:sz="4" w:space="0"/>
            </w:tcBorders>
          </w:tcPr>
          <w:p w14:paraId="3943046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(1)</w:t>
            </w:r>
          </w:p>
        </w:tc>
        <w:tc>
          <w:tcPr>
            <w:tcW w:w="1252" w:type="dxa"/>
            <w:tcBorders>
              <w:bottom w:val="single" w:color="auto" w:sz="4" w:space="0"/>
            </w:tcBorders>
          </w:tcPr>
          <w:p w14:paraId="6233565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(2)</w:t>
            </w:r>
          </w:p>
        </w:tc>
        <w:tc>
          <w:tcPr>
            <w:tcW w:w="1303" w:type="dxa"/>
            <w:tcBorders>
              <w:bottom w:val="single" w:color="auto" w:sz="4" w:space="0"/>
            </w:tcBorders>
          </w:tcPr>
          <w:p w14:paraId="6684E2D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(3)</w:t>
            </w:r>
          </w:p>
        </w:tc>
        <w:tc>
          <w:tcPr>
            <w:tcW w:w="1272" w:type="dxa"/>
            <w:tcBorders>
              <w:bottom w:val="single" w:color="auto" w:sz="4" w:space="0"/>
            </w:tcBorders>
          </w:tcPr>
          <w:p w14:paraId="12FEF64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(4)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5A3B912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(5)</w:t>
            </w:r>
          </w:p>
        </w:tc>
        <w:tc>
          <w:tcPr>
            <w:tcW w:w="1275" w:type="dxa"/>
            <w:tcBorders>
              <w:bottom w:val="single" w:color="auto" w:sz="4" w:space="0"/>
            </w:tcBorders>
          </w:tcPr>
          <w:p w14:paraId="3A3D8E2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(6)</w:t>
            </w:r>
          </w:p>
        </w:tc>
      </w:tr>
      <w:tr w14:paraId="1058D72A">
        <w:trPr>
          <w:jc w:val="center"/>
        </w:trPr>
        <w:tc>
          <w:tcPr>
            <w:tcW w:w="997" w:type="dxa"/>
            <w:tcBorders>
              <w:top w:val="single" w:color="auto" w:sz="4" w:space="0"/>
            </w:tcBorders>
          </w:tcPr>
          <w:p w14:paraId="6ABB311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PEI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4A87790D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-0.4094***</w:t>
            </w:r>
          </w:p>
          <w:p w14:paraId="3FA6B9BC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(0.1104)</w:t>
            </w:r>
          </w:p>
        </w:tc>
        <w:tc>
          <w:tcPr>
            <w:tcW w:w="1252" w:type="dxa"/>
            <w:tcBorders>
              <w:top w:val="single" w:color="auto" w:sz="4" w:space="0"/>
            </w:tcBorders>
          </w:tcPr>
          <w:p w14:paraId="1609C08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-0.2248***</w:t>
            </w:r>
          </w:p>
          <w:p w14:paraId="4923844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(0.0786)</w:t>
            </w:r>
          </w:p>
        </w:tc>
        <w:tc>
          <w:tcPr>
            <w:tcW w:w="1303" w:type="dxa"/>
            <w:tcBorders>
              <w:top w:val="single" w:color="auto" w:sz="4" w:space="0"/>
            </w:tcBorders>
          </w:tcPr>
          <w:p w14:paraId="60439A95">
            <w:pPr>
              <w:pStyle w:val="8"/>
              <w:jc w:val="center"/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-0.2092***</w:t>
            </w:r>
          </w:p>
          <w:p w14:paraId="1EE8E06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(0.0760)</w:t>
            </w:r>
          </w:p>
        </w:tc>
        <w:tc>
          <w:tcPr>
            <w:tcW w:w="1272" w:type="dxa"/>
            <w:tcBorders>
              <w:top w:val="single" w:color="auto" w:sz="4" w:space="0"/>
            </w:tcBorders>
          </w:tcPr>
          <w:p w14:paraId="66F4958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-0.3533***</w:t>
            </w:r>
          </w:p>
          <w:p w14:paraId="5018F69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(0.0523)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68B7FE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-0.7685***</w:t>
            </w:r>
          </w:p>
          <w:p w14:paraId="759A2FB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(0.0957)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 w14:paraId="37251DA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-0.3340***</w:t>
            </w:r>
          </w:p>
          <w:p w14:paraId="25F0577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(0.0472)</w:t>
            </w:r>
          </w:p>
        </w:tc>
      </w:tr>
      <w:tr w14:paraId="7756BD15">
        <w:trPr>
          <w:jc w:val="center"/>
        </w:trPr>
        <w:tc>
          <w:tcPr>
            <w:tcW w:w="997" w:type="dxa"/>
          </w:tcPr>
          <w:p w14:paraId="3B4312B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238" w:type="dxa"/>
          </w:tcPr>
          <w:p w14:paraId="252EB8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52" w:type="dxa"/>
          </w:tcPr>
          <w:p w14:paraId="1730DF2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03" w:type="dxa"/>
          </w:tcPr>
          <w:p w14:paraId="48ECABC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2" w:type="dxa"/>
          </w:tcPr>
          <w:p w14:paraId="3A86293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6" w:type="dxa"/>
          </w:tcPr>
          <w:p w14:paraId="47E7E07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5" w:type="dxa"/>
          </w:tcPr>
          <w:p w14:paraId="259C46D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527B8B82">
        <w:trPr>
          <w:jc w:val="center"/>
        </w:trPr>
        <w:tc>
          <w:tcPr>
            <w:tcW w:w="997" w:type="dxa"/>
          </w:tcPr>
          <w:p w14:paraId="55A0CF0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Age FE</w:t>
            </w:r>
          </w:p>
        </w:tc>
        <w:tc>
          <w:tcPr>
            <w:tcW w:w="1238" w:type="dxa"/>
          </w:tcPr>
          <w:p w14:paraId="4CA5240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52" w:type="dxa"/>
          </w:tcPr>
          <w:p w14:paraId="153432A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03" w:type="dxa"/>
          </w:tcPr>
          <w:p w14:paraId="0E8870C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2" w:type="dxa"/>
          </w:tcPr>
          <w:p w14:paraId="235B9E5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6" w:type="dxa"/>
          </w:tcPr>
          <w:p w14:paraId="0CD763B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5" w:type="dxa"/>
          </w:tcPr>
          <w:p w14:paraId="3E18A4E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785C0469">
        <w:trPr>
          <w:jc w:val="center"/>
        </w:trPr>
        <w:tc>
          <w:tcPr>
            <w:tcW w:w="997" w:type="dxa"/>
          </w:tcPr>
          <w:p w14:paraId="68A3E6A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Province FE</w:t>
            </w:r>
          </w:p>
        </w:tc>
        <w:tc>
          <w:tcPr>
            <w:tcW w:w="1238" w:type="dxa"/>
          </w:tcPr>
          <w:p w14:paraId="6A6E47A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52" w:type="dxa"/>
          </w:tcPr>
          <w:p w14:paraId="72D441C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03" w:type="dxa"/>
          </w:tcPr>
          <w:p w14:paraId="53EC301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2" w:type="dxa"/>
          </w:tcPr>
          <w:p w14:paraId="26FE5A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6" w:type="dxa"/>
          </w:tcPr>
          <w:p w14:paraId="06DACAF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275" w:type="dxa"/>
          </w:tcPr>
          <w:p w14:paraId="12A8FF6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 w14:paraId="1847A695">
        <w:trPr>
          <w:jc w:val="center"/>
        </w:trPr>
        <w:tc>
          <w:tcPr>
            <w:tcW w:w="997" w:type="dxa"/>
          </w:tcPr>
          <w:p w14:paraId="7D222E1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1238" w:type="dxa"/>
          </w:tcPr>
          <w:p w14:paraId="2039B90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1,900</w:t>
            </w:r>
          </w:p>
        </w:tc>
        <w:tc>
          <w:tcPr>
            <w:tcW w:w="1252" w:type="dxa"/>
          </w:tcPr>
          <w:p w14:paraId="234F5BF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757</w:t>
            </w:r>
          </w:p>
        </w:tc>
        <w:tc>
          <w:tcPr>
            <w:tcW w:w="1303" w:type="dxa"/>
          </w:tcPr>
          <w:p w14:paraId="3687AEF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895</w:t>
            </w:r>
          </w:p>
        </w:tc>
        <w:tc>
          <w:tcPr>
            <w:tcW w:w="1272" w:type="dxa"/>
          </w:tcPr>
          <w:p w14:paraId="0E50990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2,643</w:t>
            </w:r>
          </w:p>
        </w:tc>
        <w:tc>
          <w:tcPr>
            <w:tcW w:w="1276" w:type="dxa"/>
          </w:tcPr>
          <w:p w14:paraId="450B136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503</w:t>
            </w:r>
          </w:p>
        </w:tc>
        <w:tc>
          <w:tcPr>
            <w:tcW w:w="1275" w:type="dxa"/>
          </w:tcPr>
          <w:p w14:paraId="54F363C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2,127</w:t>
            </w:r>
          </w:p>
        </w:tc>
      </w:tr>
    </w:tbl>
    <w:p w14:paraId="0FCE5B14">
      <w:pPr>
        <w:pStyle w:val="13"/>
        <w:ind w:right="-58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 xml:space="preserve">Notes. </w:t>
      </w:r>
      <w:r>
        <w:rPr>
          <w:rFonts w:ascii="Times New Roman" w:hAnsi="Times New Roman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This table presents the first stage estimation results for further analysis. All columns include the following covariates: gender, education, per capita household income, rural/urban residency indicator, marital status, age fixed effects, and province fixed effects. Dependent variable of column 1 is an indicator for individuals’ COVID-19 vaccination status, but the sample excludes those who state that they are ineligible for the vaccination. Dependent variable of column 2 is a dummy variable that indicates whether the respondent took a flu shot last year. Dependent variable of column 3 ranges from 1 to 3, where 1 refers to the respondent never taking a physical examination in the past three years, 2 refers to the respondent taking physical examinations occasionally in the last three years, and 3 refers to the respondent taking regular physical examinations in the past three years. Dependent variable of column 4 is contact frequency with families and friends; a higher value refers to more frequent contacts. Column 5 examines the COVID-19 vaccination status of respondents who co-reside with at least one child, while column 6 examines the COVID-19 vaccination status of respondents who live alone. Marginal effects from the IV-Probit regressions are reported in columns 1, 2, 5, and 6, and estimated coefficients from the IV-OLS regression are reported in columns 3 and 4. Robust standard errors adjusted for clustering on provinces are in parentheses.</w:t>
      </w:r>
    </w:p>
    <w:p w14:paraId="27BD5EE6">
      <w:pPr>
        <w:tabs>
          <w:tab w:val="left" w:pos="8789"/>
        </w:tabs>
        <w:spacing w:after="0" w:line="240" w:lineRule="auto"/>
        <w:ind w:right="84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*p&lt;0.1; **p&lt;0.05; ***p&lt;0.01</w:t>
      </w:r>
    </w:p>
    <w:p w14:paraId="1650FF10">
      <w:pP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p w14:paraId="42C2F66C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866B84B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AppleSystemUIFont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30099B56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4EEB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4979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C5848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60D35">
    <w:pPr>
      <w:spacing w:line="240" w:lineRule="auto"/>
      <w:jc w:val="left"/>
      <w:rPr>
        <w:rFonts w:ascii="Times New Roman" w:hAnsi="Times New Roman" w:cs="Times New Roman"/>
        <w:color w:val="000000" w:themeColor="text1"/>
        <w:sz w:val="24"/>
        <w:szCs w:val="24"/>
        <w14:textFill>
          <w14:solidFill>
            <w14:schemeClr w14:val="tx1"/>
          </w14:solidFill>
        </w14:textFill>
      </w:rPr>
    </w:pPr>
    <w:r>
      <w:rPr>
        <w:rFonts w:ascii="Times New Roman" w:hAnsi="Times New Roman" w:cs="Times New Roman"/>
        <w:color w:val="000000" w:themeColor="text1"/>
        <w:sz w:val="24"/>
        <w:szCs w:val="24"/>
        <w14:textFill>
          <w14:solidFill>
            <w14:schemeClr w14:val="tx1"/>
          </w14:solidFill>
        </w14:textFill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A53A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02F7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zMjdjODhjY2ZlNmRhNzAxMDI0MTQ3YTc0MjA1NjYifQ=="/>
  </w:docVars>
  <w:rsids>
    <w:rsidRoot w:val="00280FBF"/>
    <w:rsid w:val="00022E02"/>
    <w:rsid w:val="000265CE"/>
    <w:rsid w:val="00056A22"/>
    <w:rsid w:val="0007673B"/>
    <w:rsid w:val="000A493B"/>
    <w:rsid w:val="000B1AA6"/>
    <w:rsid w:val="000D6DC2"/>
    <w:rsid w:val="00115FA3"/>
    <w:rsid w:val="00120AB1"/>
    <w:rsid w:val="001D0B89"/>
    <w:rsid w:val="00226609"/>
    <w:rsid w:val="00247569"/>
    <w:rsid w:val="00261CB0"/>
    <w:rsid w:val="002712C8"/>
    <w:rsid w:val="00280FBF"/>
    <w:rsid w:val="00290E9F"/>
    <w:rsid w:val="00294CA7"/>
    <w:rsid w:val="00294DDD"/>
    <w:rsid w:val="002E05BB"/>
    <w:rsid w:val="0030064A"/>
    <w:rsid w:val="00304422"/>
    <w:rsid w:val="003135A0"/>
    <w:rsid w:val="00321CB8"/>
    <w:rsid w:val="0033183E"/>
    <w:rsid w:val="00340716"/>
    <w:rsid w:val="00351D20"/>
    <w:rsid w:val="003559A6"/>
    <w:rsid w:val="003756FE"/>
    <w:rsid w:val="00383730"/>
    <w:rsid w:val="00383D68"/>
    <w:rsid w:val="003D15C8"/>
    <w:rsid w:val="003E550C"/>
    <w:rsid w:val="00463A1F"/>
    <w:rsid w:val="00486E52"/>
    <w:rsid w:val="004E79F0"/>
    <w:rsid w:val="00525383"/>
    <w:rsid w:val="005509B4"/>
    <w:rsid w:val="005624D8"/>
    <w:rsid w:val="005909FD"/>
    <w:rsid w:val="00592D1F"/>
    <w:rsid w:val="006015E1"/>
    <w:rsid w:val="00613F0E"/>
    <w:rsid w:val="00633D1A"/>
    <w:rsid w:val="00651D5D"/>
    <w:rsid w:val="0065413F"/>
    <w:rsid w:val="006A5A19"/>
    <w:rsid w:val="006E3451"/>
    <w:rsid w:val="00713524"/>
    <w:rsid w:val="007939F3"/>
    <w:rsid w:val="007B1BAB"/>
    <w:rsid w:val="007B46D7"/>
    <w:rsid w:val="007C5FCB"/>
    <w:rsid w:val="0082095F"/>
    <w:rsid w:val="00841C7A"/>
    <w:rsid w:val="008B5FFD"/>
    <w:rsid w:val="008C0A3A"/>
    <w:rsid w:val="008C61E5"/>
    <w:rsid w:val="008D651C"/>
    <w:rsid w:val="008F1174"/>
    <w:rsid w:val="009D307C"/>
    <w:rsid w:val="009E16A4"/>
    <w:rsid w:val="00A8047F"/>
    <w:rsid w:val="00A87687"/>
    <w:rsid w:val="00B12BEC"/>
    <w:rsid w:val="00B15F29"/>
    <w:rsid w:val="00B245E9"/>
    <w:rsid w:val="00BA60E4"/>
    <w:rsid w:val="00BC23C5"/>
    <w:rsid w:val="00C754EA"/>
    <w:rsid w:val="00C95CDD"/>
    <w:rsid w:val="00CE7B87"/>
    <w:rsid w:val="00CE7D74"/>
    <w:rsid w:val="00D65B15"/>
    <w:rsid w:val="00D82313"/>
    <w:rsid w:val="00DA2888"/>
    <w:rsid w:val="00E171F6"/>
    <w:rsid w:val="00E2466F"/>
    <w:rsid w:val="00E37EA8"/>
    <w:rsid w:val="00E663F4"/>
    <w:rsid w:val="00E96E41"/>
    <w:rsid w:val="00EB7A2C"/>
    <w:rsid w:val="00EC4889"/>
    <w:rsid w:val="00EF4B85"/>
    <w:rsid w:val="00F34C3C"/>
    <w:rsid w:val="00F44B6E"/>
    <w:rsid w:val="00F84790"/>
    <w:rsid w:val="00FC5862"/>
    <w:rsid w:val="00FD6600"/>
    <w:rsid w:val="00FF4628"/>
    <w:rsid w:val="1F0E406A"/>
    <w:rsid w:val="ED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CA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10"/>
    <w:uiPriority w:val="0"/>
    <w:pPr>
      <w:tabs>
        <w:tab w:val="center" w:pos="4320"/>
        <w:tab w:val="right" w:pos="8640"/>
      </w:tabs>
      <w:spacing w:after="0" w:line="240" w:lineRule="auto"/>
    </w:p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正文1"/>
    <w:uiPriority w:val="0"/>
    <w:rPr>
      <w:rFonts w:ascii="DengXian" w:hAnsi="DengXian" w:eastAsia="DengXian" w:cs="Times New Roman"/>
      <w:kern w:val="2"/>
      <w:sz w:val="24"/>
      <w:szCs w:val="24"/>
      <w:lang w:val="en-CA" w:eastAsia="zh-CN" w:bidi="ar-SA"/>
    </w:rPr>
  </w:style>
  <w:style w:type="table" w:customStyle="1" w:styleId="9">
    <w:name w:val="网格型1"/>
    <w:basedOn w:val="4"/>
    <w:uiPriority w:val="0"/>
    <w:rPr>
      <w:rFonts w:eastAsia="Times New Roman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er Char"/>
    <w:basedOn w:val="6"/>
    <w:link w:val="3"/>
    <w:uiPriority w:val="0"/>
    <w:rPr>
      <w:kern w:val="2"/>
      <w:sz w:val="22"/>
      <w:szCs w:val="22"/>
      <w14:ligatures w14:val="standardContextual"/>
    </w:rPr>
  </w:style>
  <w:style w:type="character" w:customStyle="1" w:styleId="11">
    <w:name w:val="Footer Char"/>
    <w:basedOn w:val="6"/>
    <w:link w:val="2"/>
    <w:uiPriority w:val="99"/>
    <w:rPr>
      <w:kern w:val="2"/>
      <w:sz w:val="22"/>
      <w:szCs w:val="22"/>
      <w14:ligatures w14:val="standardContextual"/>
    </w:rPr>
  </w:style>
  <w:style w:type="character" w:customStyle="1" w:styleId="12">
    <w:name w:val="apple-converted-space"/>
    <w:basedOn w:val="6"/>
    <w:uiPriority w:val="0"/>
  </w:style>
  <w:style w:type="paragraph" w:customStyle="1" w:styleId="13">
    <w:name w:val="p1"/>
    <w:basedOn w:val="1"/>
    <w:uiPriority w:val="0"/>
    <w:pPr>
      <w:widowControl/>
      <w:spacing w:after="0" w:line="240" w:lineRule="auto"/>
      <w:jc w:val="left"/>
    </w:pPr>
    <w:rPr>
      <w:rFonts w:ascii="Helvetica" w:hAnsi="Helvetica" w:eastAsia="Times New Roman" w:cs="Times New Roman"/>
      <w:color w:val="000000"/>
      <w:kern w:val="0"/>
      <w:sz w:val="11"/>
      <w:szCs w:val="11"/>
      <w:lang w:val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1036</Words>
  <Characters>5909</Characters>
  <Lines>49</Lines>
  <Paragraphs>13</Paragraphs>
  <TotalTime>0</TotalTime>
  <ScaleCrop>false</ScaleCrop>
  <LinksUpToDate>false</LinksUpToDate>
  <CharactersWithSpaces>6932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2025-01-21T10:29:00Z</dcterms:created>
  <dc:creator>CiCi</dc:creator>
  <cp:lastModifiedBy>张维佳</cp:lastModifiedBy>
  <dcterms:modified xsi:type="dcterms:W3CDTF">2026-04-02T10:46:06Z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7425D7E3CEF045BF8FA063DC6FD502BF_12</vt:lpwstr>
  </property>
</Properties>
</file>