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5D2CA" w14:textId="77777777" w:rsidR="0070679B" w:rsidRPr="0070679B" w:rsidRDefault="0070679B" w:rsidP="0070679B">
      <w:pPr>
        <w:rPr>
          <w:b/>
          <w:bCs/>
          <w:lang w:val="en-US"/>
        </w:rPr>
      </w:pPr>
      <w:r w:rsidRPr="0070679B">
        <w:rPr>
          <w:b/>
          <w:bCs/>
          <w:lang w:val="en-US"/>
        </w:rPr>
        <w:t>Supplementary Information</w:t>
      </w:r>
    </w:p>
    <w:p w14:paraId="620485B1" w14:textId="77777777" w:rsidR="0070679B" w:rsidRPr="0070679B" w:rsidRDefault="0070679B" w:rsidP="0070679B">
      <w:pPr>
        <w:rPr>
          <w:b/>
          <w:bCs/>
          <w:lang w:val="en-US"/>
        </w:rPr>
      </w:pPr>
    </w:p>
    <w:p w14:paraId="6289D04F" w14:textId="77777777" w:rsidR="0070679B" w:rsidRPr="0070679B" w:rsidRDefault="0070679B" w:rsidP="0070679B">
      <w:pPr>
        <w:rPr>
          <w:b/>
          <w:bCs/>
          <w:lang w:val="en-US"/>
        </w:rPr>
      </w:pPr>
      <w:r w:rsidRPr="0070679B">
        <w:rPr>
          <w:b/>
          <w:bCs/>
          <w:lang w:val="en-US"/>
        </w:rPr>
        <w:t>Supplementary Table 1. Three-level risk stratification using development cohort tertiles</w:t>
      </w:r>
    </w:p>
    <w:tbl>
      <w:tblPr>
        <w:tblStyle w:val="TableGrid"/>
        <w:tblW w:w="0" w:type="auto"/>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4"/>
        <w:gridCol w:w="473"/>
        <w:gridCol w:w="1147"/>
        <w:gridCol w:w="2171"/>
        <w:gridCol w:w="2271"/>
        <w:gridCol w:w="1709"/>
      </w:tblGrid>
      <w:tr w:rsidR="0070679B" w:rsidRPr="0070679B" w14:paraId="3C5ED15F" w14:textId="77777777">
        <w:tc>
          <w:tcPr>
            <w:tcW w:w="0" w:type="auto"/>
            <w:tcBorders>
              <w:top w:val="single" w:sz="4" w:space="0" w:color="auto"/>
              <w:left w:val="nil"/>
              <w:bottom w:val="single" w:sz="4" w:space="0" w:color="auto"/>
              <w:right w:val="nil"/>
            </w:tcBorders>
            <w:vAlign w:val="center"/>
            <w:hideMark/>
          </w:tcPr>
          <w:p w14:paraId="5C094DF3" w14:textId="77777777" w:rsidR="0070679B" w:rsidRPr="0070679B" w:rsidRDefault="0070679B" w:rsidP="0070679B">
            <w:pPr>
              <w:spacing w:after="160" w:line="278" w:lineRule="auto"/>
              <w:rPr>
                <w:b/>
                <w:lang w:val="en-US"/>
              </w:rPr>
            </w:pPr>
            <w:r w:rsidRPr="0070679B">
              <w:rPr>
                <w:b/>
                <w:lang w:val="en-US"/>
              </w:rPr>
              <w:t>Risk group</w:t>
            </w:r>
          </w:p>
        </w:tc>
        <w:tc>
          <w:tcPr>
            <w:tcW w:w="0" w:type="auto"/>
            <w:tcBorders>
              <w:top w:val="single" w:sz="4" w:space="0" w:color="auto"/>
              <w:left w:val="nil"/>
              <w:bottom w:val="single" w:sz="4" w:space="0" w:color="auto"/>
              <w:right w:val="nil"/>
            </w:tcBorders>
            <w:vAlign w:val="center"/>
            <w:hideMark/>
          </w:tcPr>
          <w:p w14:paraId="6C0048A7" w14:textId="77777777" w:rsidR="0070679B" w:rsidRPr="0070679B" w:rsidRDefault="0070679B" w:rsidP="0070679B">
            <w:pPr>
              <w:spacing w:after="160" w:line="278" w:lineRule="auto"/>
              <w:rPr>
                <w:b/>
                <w:lang w:val="en-US"/>
              </w:rPr>
            </w:pPr>
            <w:r w:rsidRPr="0070679B">
              <w:rPr>
                <w:b/>
                <w:lang w:val="en-US"/>
              </w:rPr>
              <w:t>n</w:t>
            </w:r>
          </w:p>
        </w:tc>
        <w:tc>
          <w:tcPr>
            <w:tcW w:w="1147" w:type="dxa"/>
            <w:tcBorders>
              <w:top w:val="single" w:sz="4" w:space="0" w:color="auto"/>
              <w:left w:val="nil"/>
              <w:bottom w:val="single" w:sz="4" w:space="0" w:color="auto"/>
              <w:right w:val="nil"/>
            </w:tcBorders>
            <w:vAlign w:val="center"/>
            <w:hideMark/>
          </w:tcPr>
          <w:p w14:paraId="61F025A7" w14:textId="77777777" w:rsidR="0070679B" w:rsidRPr="0070679B" w:rsidRDefault="0070679B" w:rsidP="0070679B">
            <w:pPr>
              <w:spacing w:after="160" w:line="278" w:lineRule="auto"/>
              <w:rPr>
                <w:b/>
                <w:lang w:val="en-US"/>
              </w:rPr>
            </w:pPr>
            <w:r w:rsidRPr="0070679B">
              <w:rPr>
                <w:b/>
                <w:lang w:val="en-US"/>
              </w:rPr>
              <w:t>Event rate (%)</w:t>
            </w:r>
          </w:p>
        </w:tc>
        <w:tc>
          <w:tcPr>
            <w:tcW w:w="2171" w:type="dxa"/>
            <w:tcBorders>
              <w:top w:val="single" w:sz="4" w:space="0" w:color="auto"/>
              <w:left w:val="nil"/>
              <w:bottom w:val="single" w:sz="4" w:space="0" w:color="auto"/>
              <w:right w:val="nil"/>
            </w:tcBorders>
            <w:vAlign w:val="center"/>
            <w:hideMark/>
          </w:tcPr>
          <w:p w14:paraId="54E16297" w14:textId="77777777" w:rsidR="0070679B" w:rsidRPr="0070679B" w:rsidRDefault="0070679B" w:rsidP="0070679B">
            <w:pPr>
              <w:spacing w:after="160" w:line="278" w:lineRule="auto"/>
              <w:rPr>
                <w:b/>
                <w:lang w:val="en-US"/>
              </w:rPr>
            </w:pPr>
            <w:r w:rsidRPr="0070679B">
              <w:rPr>
                <w:b/>
                <w:lang w:val="en-US"/>
              </w:rPr>
              <w:t>Mean POD1 total calcium (mmol/L)</w:t>
            </w:r>
          </w:p>
        </w:tc>
        <w:tc>
          <w:tcPr>
            <w:tcW w:w="0" w:type="auto"/>
            <w:tcBorders>
              <w:top w:val="single" w:sz="4" w:space="0" w:color="auto"/>
              <w:left w:val="nil"/>
              <w:bottom w:val="single" w:sz="4" w:space="0" w:color="auto"/>
              <w:right w:val="nil"/>
            </w:tcBorders>
            <w:vAlign w:val="center"/>
            <w:hideMark/>
          </w:tcPr>
          <w:p w14:paraId="65901C69" w14:textId="77777777" w:rsidR="0070679B" w:rsidRPr="0070679B" w:rsidRDefault="0070679B" w:rsidP="0070679B">
            <w:pPr>
              <w:spacing w:after="160" w:line="278" w:lineRule="auto"/>
              <w:rPr>
                <w:b/>
                <w:lang w:val="en-US"/>
              </w:rPr>
            </w:pPr>
            <w:r w:rsidRPr="0070679B">
              <w:rPr>
                <w:b/>
                <w:lang w:val="en-US"/>
              </w:rPr>
              <w:t>Mean POD1 phosphate (mmol/L)</w:t>
            </w:r>
          </w:p>
        </w:tc>
        <w:tc>
          <w:tcPr>
            <w:tcW w:w="0" w:type="auto"/>
            <w:tcBorders>
              <w:top w:val="single" w:sz="4" w:space="0" w:color="auto"/>
              <w:left w:val="nil"/>
              <w:bottom w:val="single" w:sz="4" w:space="0" w:color="auto"/>
              <w:right w:val="nil"/>
            </w:tcBorders>
            <w:vAlign w:val="center"/>
            <w:hideMark/>
          </w:tcPr>
          <w:p w14:paraId="649ED503" w14:textId="77777777" w:rsidR="0070679B" w:rsidRPr="0070679B" w:rsidRDefault="0070679B" w:rsidP="0070679B">
            <w:pPr>
              <w:spacing w:after="160" w:line="278" w:lineRule="auto"/>
              <w:rPr>
                <w:b/>
                <w:lang w:val="en-US"/>
              </w:rPr>
            </w:pPr>
            <w:r w:rsidRPr="0070679B">
              <w:rPr>
                <w:b/>
                <w:lang w:val="en-US"/>
              </w:rPr>
              <w:t>Mean length of stay (days)</w:t>
            </w:r>
          </w:p>
        </w:tc>
      </w:tr>
      <w:tr w:rsidR="0070679B" w:rsidRPr="0070679B" w14:paraId="4A57648F" w14:textId="77777777">
        <w:tc>
          <w:tcPr>
            <w:tcW w:w="0" w:type="auto"/>
            <w:tcBorders>
              <w:top w:val="single" w:sz="4" w:space="0" w:color="auto"/>
              <w:left w:val="nil"/>
              <w:bottom w:val="single" w:sz="4" w:space="0" w:color="E8E8E8" w:themeColor="background2"/>
              <w:right w:val="nil"/>
            </w:tcBorders>
            <w:vAlign w:val="center"/>
            <w:hideMark/>
          </w:tcPr>
          <w:p w14:paraId="1C92F7F7" w14:textId="77777777" w:rsidR="0070679B" w:rsidRPr="0070679B" w:rsidRDefault="0070679B" w:rsidP="0070679B">
            <w:pPr>
              <w:spacing w:after="160" w:line="278" w:lineRule="auto"/>
              <w:rPr>
                <w:lang w:val="en-US"/>
              </w:rPr>
            </w:pPr>
            <w:r w:rsidRPr="0070679B">
              <w:rPr>
                <w:lang w:val="en-US"/>
              </w:rPr>
              <w:t>Low</w:t>
            </w:r>
          </w:p>
        </w:tc>
        <w:tc>
          <w:tcPr>
            <w:tcW w:w="0" w:type="auto"/>
            <w:tcBorders>
              <w:top w:val="single" w:sz="4" w:space="0" w:color="auto"/>
              <w:left w:val="nil"/>
              <w:bottom w:val="single" w:sz="4" w:space="0" w:color="E8E8E8" w:themeColor="background2"/>
              <w:right w:val="nil"/>
            </w:tcBorders>
            <w:vAlign w:val="center"/>
            <w:hideMark/>
          </w:tcPr>
          <w:p w14:paraId="4D3F7906" w14:textId="77777777" w:rsidR="0070679B" w:rsidRPr="0070679B" w:rsidRDefault="0070679B" w:rsidP="0070679B">
            <w:pPr>
              <w:spacing w:after="160" w:line="278" w:lineRule="auto"/>
              <w:rPr>
                <w:lang w:val="en-US"/>
              </w:rPr>
            </w:pPr>
            <w:r w:rsidRPr="0070679B">
              <w:rPr>
                <w:lang w:val="en-US"/>
              </w:rPr>
              <w:t>33</w:t>
            </w:r>
          </w:p>
        </w:tc>
        <w:tc>
          <w:tcPr>
            <w:tcW w:w="1147" w:type="dxa"/>
            <w:tcBorders>
              <w:top w:val="single" w:sz="4" w:space="0" w:color="auto"/>
              <w:left w:val="nil"/>
              <w:bottom w:val="single" w:sz="4" w:space="0" w:color="E8E8E8" w:themeColor="background2"/>
              <w:right w:val="nil"/>
            </w:tcBorders>
            <w:vAlign w:val="center"/>
            <w:hideMark/>
          </w:tcPr>
          <w:p w14:paraId="1712C129" w14:textId="77777777" w:rsidR="0070679B" w:rsidRPr="0070679B" w:rsidRDefault="0070679B" w:rsidP="0070679B">
            <w:pPr>
              <w:spacing w:after="160" w:line="278" w:lineRule="auto"/>
              <w:rPr>
                <w:lang w:val="en-US"/>
              </w:rPr>
            </w:pPr>
            <w:r w:rsidRPr="0070679B">
              <w:rPr>
                <w:lang w:val="en-US"/>
              </w:rPr>
              <w:t>36.4</w:t>
            </w:r>
          </w:p>
        </w:tc>
        <w:tc>
          <w:tcPr>
            <w:tcW w:w="2171" w:type="dxa"/>
            <w:tcBorders>
              <w:top w:val="single" w:sz="4" w:space="0" w:color="auto"/>
              <w:left w:val="nil"/>
              <w:bottom w:val="single" w:sz="4" w:space="0" w:color="E8E8E8" w:themeColor="background2"/>
              <w:right w:val="nil"/>
            </w:tcBorders>
            <w:vAlign w:val="center"/>
            <w:hideMark/>
          </w:tcPr>
          <w:p w14:paraId="4588FD8A" w14:textId="77777777" w:rsidR="0070679B" w:rsidRPr="0070679B" w:rsidRDefault="0070679B" w:rsidP="0070679B">
            <w:pPr>
              <w:spacing w:after="160" w:line="278" w:lineRule="auto"/>
              <w:rPr>
                <w:lang w:val="en-US"/>
              </w:rPr>
            </w:pPr>
            <w:r w:rsidRPr="0070679B">
              <w:rPr>
                <w:lang w:val="en-US"/>
              </w:rPr>
              <w:t>2.35</w:t>
            </w:r>
          </w:p>
        </w:tc>
        <w:tc>
          <w:tcPr>
            <w:tcW w:w="0" w:type="auto"/>
            <w:tcBorders>
              <w:top w:val="single" w:sz="4" w:space="0" w:color="auto"/>
              <w:left w:val="nil"/>
              <w:bottom w:val="single" w:sz="4" w:space="0" w:color="E8E8E8" w:themeColor="background2"/>
              <w:right w:val="nil"/>
            </w:tcBorders>
            <w:vAlign w:val="center"/>
            <w:hideMark/>
          </w:tcPr>
          <w:p w14:paraId="33736117" w14:textId="77777777" w:rsidR="0070679B" w:rsidRPr="0070679B" w:rsidRDefault="0070679B" w:rsidP="0070679B">
            <w:pPr>
              <w:spacing w:after="160" w:line="278" w:lineRule="auto"/>
              <w:rPr>
                <w:lang w:val="en-US"/>
              </w:rPr>
            </w:pPr>
            <w:r w:rsidRPr="0070679B">
              <w:rPr>
                <w:lang w:val="en-US"/>
              </w:rPr>
              <w:t>1.53</w:t>
            </w:r>
          </w:p>
        </w:tc>
        <w:tc>
          <w:tcPr>
            <w:tcW w:w="0" w:type="auto"/>
            <w:tcBorders>
              <w:top w:val="single" w:sz="4" w:space="0" w:color="auto"/>
              <w:left w:val="nil"/>
              <w:bottom w:val="single" w:sz="4" w:space="0" w:color="E8E8E8" w:themeColor="background2"/>
              <w:right w:val="nil"/>
            </w:tcBorders>
            <w:vAlign w:val="center"/>
            <w:hideMark/>
          </w:tcPr>
          <w:p w14:paraId="6C606D8B" w14:textId="77777777" w:rsidR="0070679B" w:rsidRPr="0070679B" w:rsidRDefault="0070679B" w:rsidP="0070679B">
            <w:pPr>
              <w:spacing w:after="160" w:line="278" w:lineRule="auto"/>
              <w:rPr>
                <w:lang w:val="en-US"/>
              </w:rPr>
            </w:pPr>
            <w:r w:rsidRPr="0070679B">
              <w:rPr>
                <w:lang w:val="en-US"/>
              </w:rPr>
              <w:t>6.18</w:t>
            </w:r>
          </w:p>
        </w:tc>
      </w:tr>
      <w:tr w:rsidR="0070679B" w:rsidRPr="0070679B" w14:paraId="2812C1A1" w14:textId="77777777">
        <w:tc>
          <w:tcPr>
            <w:tcW w:w="0" w:type="auto"/>
            <w:tcBorders>
              <w:top w:val="single" w:sz="4" w:space="0" w:color="E8E8E8" w:themeColor="background2"/>
              <w:left w:val="nil"/>
              <w:bottom w:val="single" w:sz="4" w:space="0" w:color="E8E8E8" w:themeColor="background2"/>
              <w:right w:val="nil"/>
            </w:tcBorders>
            <w:vAlign w:val="center"/>
            <w:hideMark/>
          </w:tcPr>
          <w:p w14:paraId="15B98D8E" w14:textId="77777777" w:rsidR="0070679B" w:rsidRPr="0070679B" w:rsidRDefault="0070679B" w:rsidP="0070679B">
            <w:pPr>
              <w:spacing w:after="160" w:line="278" w:lineRule="auto"/>
              <w:rPr>
                <w:lang w:val="en-US"/>
              </w:rPr>
            </w:pPr>
            <w:r w:rsidRPr="0070679B">
              <w:rPr>
                <w:lang w:val="en-US"/>
              </w:rPr>
              <w:t>Intermediate</w:t>
            </w:r>
          </w:p>
        </w:tc>
        <w:tc>
          <w:tcPr>
            <w:tcW w:w="0" w:type="auto"/>
            <w:tcBorders>
              <w:top w:val="single" w:sz="4" w:space="0" w:color="E8E8E8" w:themeColor="background2"/>
              <w:left w:val="nil"/>
              <w:bottom w:val="single" w:sz="4" w:space="0" w:color="E8E8E8" w:themeColor="background2"/>
              <w:right w:val="nil"/>
            </w:tcBorders>
            <w:vAlign w:val="center"/>
            <w:hideMark/>
          </w:tcPr>
          <w:p w14:paraId="0A783EA1" w14:textId="77777777" w:rsidR="0070679B" w:rsidRPr="0070679B" w:rsidRDefault="0070679B" w:rsidP="0070679B">
            <w:pPr>
              <w:spacing w:after="160" w:line="278" w:lineRule="auto"/>
              <w:rPr>
                <w:lang w:val="en-US"/>
              </w:rPr>
            </w:pPr>
            <w:r w:rsidRPr="0070679B">
              <w:rPr>
                <w:lang w:val="en-US"/>
              </w:rPr>
              <w:t>17</w:t>
            </w:r>
          </w:p>
        </w:tc>
        <w:tc>
          <w:tcPr>
            <w:tcW w:w="1147" w:type="dxa"/>
            <w:tcBorders>
              <w:top w:val="single" w:sz="4" w:space="0" w:color="E8E8E8" w:themeColor="background2"/>
              <w:left w:val="nil"/>
              <w:bottom w:val="single" w:sz="4" w:space="0" w:color="E8E8E8" w:themeColor="background2"/>
              <w:right w:val="nil"/>
            </w:tcBorders>
            <w:vAlign w:val="center"/>
            <w:hideMark/>
          </w:tcPr>
          <w:p w14:paraId="42076940" w14:textId="77777777" w:rsidR="0070679B" w:rsidRPr="0070679B" w:rsidRDefault="0070679B" w:rsidP="0070679B">
            <w:pPr>
              <w:spacing w:after="160" w:line="278" w:lineRule="auto"/>
              <w:rPr>
                <w:lang w:val="en-US"/>
              </w:rPr>
            </w:pPr>
            <w:r w:rsidRPr="0070679B">
              <w:rPr>
                <w:lang w:val="en-US"/>
              </w:rPr>
              <w:t>41.2</w:t>
            </w:r>
          </w:p>
        </w:tc>
        <w:tc>
          <w:tcPr>
            <w:tcW w:w="2171" w:type="dxa"/>
            <w:tcBorders>
              <w:top w:val="single" w:sz="4" w:space="0" w:color="E8E8E8" w:themeColor="background2"/>
              <w:left w:val="nil"/>
              <w:bottom w:val="single" w:sz="4" w:space="0" w:color="E8E8E8" w:themeColor="background2"/>
              <w:right w:val="nil"/>
            </w:tcBorders>
            <w:vAlign w:val="center"/>
            <w:hideMark/>
          </w:tcPr>
          <w:p w14:paraId="315D9005" w14:textId="77777777" w:rsidR="0070679B" w:rsidRPr="0070679B" w:rsidRDefault="0070679B" w:rsidP="0070679B">
            <w:pPr>
              <w:spacing w:after="160" w:line="278" w:lineRule="auto"/>
              <w:rPr>
                <w:lang w:val="en-US"/>
              </w:rPr>
            </w:pPr>
            <w:r w:rsidRPr="0070679B">
              <w:rPr>
                <w:lang w:val="en-US"/>
              </w:rPr>
              <w:t>2.21</w:t>
            </w:r>
          </w:p>
        </w:tc>
        <w:tc>
          <w:tcPr>
            <w:tcW w:w="0" w:type="auto"/>
            <w:tcBorders>
              <w:top w:val="single" w:sz="4" w:space="0" w:color="E8E8E8" w:themeColor="background2"/>
              <w:left w:val="nil"/>
              <w:bottom w:val="single" w:sz="4" w:space="0" w:color="E8E8E8" w:themeColor="background2"/>
              <w:right w:val="nil"/>
            </w:tcBorders>
            <w:vAlign w:val="center"/>
            <w:hideMark/>
          </w:tcPr>
          <w:p w14:paraId="6D6AEC80" w14:textId="77777777" w:rsidR="0070679B" w:rsidRPr="0070679B" w:rsidRDefault="0070679B" w:rsidP="0070679B">
            <w:pPr>
              <w:spacing w:after="160" w:line="278" w:lineRule="auto"/>
              <w:rPr>
                <w:lang w:val="en-US"/>
              </w:rPr>
            </w:pPr>
            <w:r w:rsidRPr="0070679B">
              <w:rPr>
                <w:lang w:val="en-US"/>
              </w:rPr>
              <w:t>1.42</w:t>
            </w:r>
          </w:p>
        </w:tc>
        <w:tc>
          <w:tcPr>
            <w:tcW w:w="0" w:type="auto"/>
            <w:tcBorders>
              <w:top w:val="single" w:sz="4" w:space="0" w:color="E8E8E8" w:themeColor="background2"/>
              <w:left w:val="nil"/>
              <w:bottom w:val="single" w:sz="4" w:space="0" w:color="E8E8E8" w:themeColor="background2"/>
              <w:right w:val="nil"/>
            </w:tcBorders>
            <w:vAlign w:val="center"/>
            <w:hideMark/>
          </w:tcPr>
          <w:p w14:paraId="39FFDECA" w14:textId="77777777" w:rsidR="0070679B" w:rsidRPr="0070679B" w:rsidRDefault="0070679B" w:rsidP="0070679B">
            <w:pPr>
              <w:spacing w:after="160" w:line="278" w:lineRule="auto"/>
              <w:rPr>
                <w:lang w:val="en-US"/>
              </w:rPr>
            </w:pPr>
            <w:r w:rsidRPr="0070679B">
              <w:rPr>
                <w:lang w:val="en-US"/>
              </w:rPr>
              <w:t>6</w:t>
            </w:r>
          </w:p>
        </w:tc>
      </w:tr>
      <w:tr w:rsidR="0070679B" w:rsidRPr="0070679B" w14:paraId="1F875D25" w14:textId="77777777">
        <w:tc>
          <w:tcPr>
            <w:tcW w:w="0" w:type="auto"/>
            <w:tcBorders>
              <w:top w:val="single" w:sz="4" w:space="0" w:color="E8E8E8" w:themeColor="background2"/>
              <w:left w:val="nil"/>
              <w:bottom w:val="single" w:sz="4" w:space="0" w:color="auto"/>
              <w:right w:val="nil"/>
            </w:tcBorders>
            <w:vAlign w:val="center"/>
            <w:hideMark/>
          </w:tcPr>
          <w:p w14:paraId="729AF395" w14:textId="77777777" w:rsidR="0070679B" w:rsidRPr="0070679B" w:rsidRDefault="0070679B" w:rsidP="0070679B">
            <w:pPr>
              <w:spacing w:after="160" w:line="278" w:lineRule="auto"/>
              <w:rPr>
                <w:lang w:val="en-US"/>
              </w:rPr>
            </w:pPr>
            <w:r w:rsidRPr="0070679B">
              <w:rPr>
                <w:lang w:val="en-US"/>
              </w:rPr>
              <w:t>High</w:t>
            </w:r>
          </w:p>
        </w:tc>
        <w:tc>
          <w:tcPr>
            <w:tcW w:w="0" w:type="auto"/>
            <w:tcBorders>
              <w:top w:val="single" w:sz="4" w:space="0" w:color="E8E8E8" w:themeColor="background2"/>
              <w:left w:val="nil"/>
              <w:bottom w:val="single" w:sz="4" w:space="0" w:color="auto"/>
              <w:right w:val="nil"/>
            </w:tcBorders>
            <w:vAlign w:val="center"/>
            <w:hideMark/>
          </w:tcPr>
          <w:p w14:paraId="3D7FA0E0" w14:textId="77777777" w:rsidR="0070679B" w:rsidRPr="0070679B" w:rsidRDefault="0070679B" w:rsidP="0070679B">
            <w:pPr>
              <w:spacing w:after="160" w:line="278" w:lineRule="auto"/>
              <w:rPr>
                <w:lang w:val="en-US"/>
              </w:rPr>
            </w:pPr>
            <w:r w:rsidRPr="0070679B">
              <w:rPr>
                <w:lang w:val="en-US"/>
              </w:rPr>
              <w:t>14</w:t>
            </w:r>
          </w:p>
        </w:tc>
        <w:tc>
          <w:tcPr>
            <w:tcW w:w="1147" w:type="dxa"/>
            <w:tcBorders>
              <w:top w:val="single" w:sz="4" w:space="0" w:color="E8E8E8" w:themeColor="background2"/>
              <w:left w:val="nil"/>
              <w:bottom w:val="single" w:sz="4" w:space="0" w:color="auto"/>
              <w:right w:val="nil"/>
            </w:tcBorders>
            <w:vAlign w:val="center"/>
            <w:hideMark/>
          </w:tcPr>
          <w:p w14:paraId="644B940E" w14:textId="77777777" w:rsidR="0070679B" w:rsidRPr="0070679B" w:rsidRDefault="0070679B" w:rsidP="0070679B">
            <w:pPr>
              <w:spacing w:after="160" w:line="278" w:lineRule="auto"/>
              <w:rPr>
                <w:lang w:val="en-US"/>
              </w:rPr>
            </w:pPr>
            <w:r w:rsidRPr="0070679B">
              <w:rPr>
                <w:lang w:val="en-US"/>
              </w:rPr>
              <w:t>64.3</w:t>
            </w:r>
          </w:p>
        </w:tc>
        <w:tc>
          <w:tcPr>
            <w:tcW w:w="2171" w:type="dxa"/>
            <w:tcBorders>
              <w:top w:val="single" w:sz="4" w:space="0" w:color="E8E8E8" w:themeColor="background2"/>
              <w:left w:val="nil"/>
              <w:bottom w:val="single" w:sz="4" w:space="0" w:color="auto"/>
              <w:right w:val="nil"/>
            </w:tcBorders>
            <w:vAlign w:val="center"/>
            <w:hideMark/>
          </w:tcPr>
          <w:p w14:paraId="427BBF64" w14:textId="77777777" w:rsidR="0070679B" w:rsidRPr="0070679B" w:rsidRDefault="0070679B" w:rsidP="0070679B">
            <w:pPr>
              <w:spacing w:after="160" w:line="278" w:lineRule="auto"/>
              <w:rPr>
                <w:lang w:val="en-US"/>
              </w:rPr>
            </w:pPr>
            <w:r w:rsidRPr="0070679B">
              <w:rPr>
                <w:lang w:val="en-US"/>
              </w:rPr>
              <w:t>2.01</w:t>
            </w:r>
          </w:p>
        </w:tc>
        <w:tc>
          <w:tcPr>
            <w:tcW w:w="0" w:type="auto"/>
            <w:tcBorders>
              <w:top w:val="single" w:sz="4" w:space="0" w:color="E8E8E8" w:themeColor="background2"/>
              <w:left w:val="nil"/>
              <w:bottom w:val="single" w:sz="4" w:space="0" w:color="auto"/>
              <w:right w:val="nil"/>
            </w:tcBorders>
            <w:vAlign w:val="center"/>
            <w:hideMark/>
          </w:tcPr>
          <w:p w14:paraId="206A4528" w14:textId="77777777" w:rsidR="0070679B" w:rsidRPr="0070679B" w:rsidRDefault="0070679B" w:rsidP="0070679B">
            <w:pPr>
              <w:spacing w:after="160" w:line="278" w:lineRule="auto"/>
              <w:rPr>
                <w:lang w:val="en-US"/>
              </w:rPr>
            </w:pPr>
            <w:r w:rsidRPr="0070679B">
              <w:rPr>
                <w:lang w:val="en-US"/>
              </w:rPr>
              <w:t>1.49</w:t>
            </w:r>
          </w:p>
        </w:tc>
        <w:tc>
          <w:tcPr>
            <w:tcW w:w="0" w:type="auto"/>
            <w:tcBorders>
              <w:top w:val="single" w:sz="4" w:space="0" w:color="E8E8E8" w:themeColor="background2"/>
              <w:left w:val="nil"/>
              <w:bottom w:val="single" w:sz="4" w:space="0" w:color="auto"/>
              <w:right w:val="nil"/>
            </w:tcBorders>
            <w:vAlign w:val="center"/>
            <w:hideMark/>
          </w:tcPr>
          <w:p w14:paraId="27EBE39A" w14:textId="77777777" w:rsidR="0070679B" w:rsidRPr="0070679B" w:rsidRDefault="0070679B" w:rsidP="0070679B">
            <w:pPr>
              <w:spacing w:after="160" w:line="278" w:lineRule="auto"/>
              <w:rPr>
                <w:lang w:val="en-US"/>
              </w:rPr>
            </w:pPr>
            <w:r w:rsidRPr="0070679B">
              <w:rPr>
                <w:lang w:val="en-US"/>
              </w:rPr>
              <w:t>6.64</w:t>
            </w:r>
          </w:p>
        </w:tc>
      </w:tr>
    </w:tbl>
    <w:p w14:paraId="270D11E2" w14:textId="77777777" w:rsidR="0070679B" w:rsidRPr="0070679B" w:rsidRDefault="0070679B" w:rsidP="0070679B">
      <w:pPr>
        <w:rPr>
          <w:bCs/>
          <w:lang w:val="en-US"/>
        </w:rPr>
      </w:pPr>
      <w:r w:rsidRPr="0070679B">
        <w:rPr>
          <w:bCs/>
          <w:lang w:val="en-US"/>
        </w:rPr>
        <w:t>Data are presented as n, event rate (%), and mean values. Tertile thresholds were derived from the development cohort predicted-risk distribution. POD1 = postoperative day 1.</w:t>
      </w:r>
    </w:p>
    <w:p w14:paraId="3B73E2D8" w14:textId="77777777" w:rsidR="0070679B" w:rsidRPr="0070679B" w:rsidRDefault="0070679B" w:rsidP="0070679B">
      <w:pPr>
        <w:rPr>
          <w:bCs/>
          <w:lang w:val="en-US"/>
        </w:rPr>
      </w:pPr>
    </w:p>
    <w:p w14:paraId="67D246D7" w14:textId="77777777" w:rsidR="0070679B" w:rsidRPr="0070679B" w:rsidRDefault="0070679B" w:rsidP="0070679B">
      <w:pPr>
        <w:rPr>
          <w:bCs/>
          <w:lang w:val="en-US"/>
        </w:rPr>
      </w:pPr>
    </w:p>
    <w:p w14:paraId="08F4A629" w14:textId="77777777" w:rsidR="0070679B" w:rsidRPr="0070679B" w:rsidRDefault="0070679B" w:rsidP="0070679B">
      <w:pPr>
        <w:rPr>
          <w:bCs/>
          <w:lang w:val="en-US"/>
        </w:rPr>
      </w:pPr>
    </w:p>
    <w:p w14:paraId="2C9736A2" w14:textId="77777777" w:rsidR="0070679B" w:rsidRPr="0070679B" w:rsidRDefault="0070679B" w:rsidP="0070679B">
      <w:pPr>
        <w:rPr>
          <w:bCs/>
          <w:lang w:val="en-US"/>
        </w:rPr>
      </w:pPr>
    </w:p>
    <w:p w14:paraId="4017A01F" w14:textId="77777777" w:rsidR="0070679B" w:rsidRPr="0070679B" w:rsidRDefault="0070679B" w:rsidP="0070679B">
      <w:pPr>
        <w:rPr>
          <w:bCs/>
          <w:lang w:val="en-US"/>
        </w:rPr>
      </w:pPr>
    </w:p>
    <w:p w14:paraId="656692BC" w14:textId="77777777" w:rsidR="0070679B" w:rsidRPr="0070679B" w:rsidRDefault="0070679B" w:rsidP="0070679B">
      <w:pPr>
        <w:rPr>
          <w:bCs/>
          <w:lang w:val="en-US"/>
        </w:rPr>
      </w:pPr>
    </w:p>
    <w:p w14:paraId="2B182F75" w14:textId="77777777" w:rsidR="0070679B" w:rsidRPr="0070679B" w:rsidRDefault="0070679B" w:rsidP="0070679B">
      <w:pPr>
        <w:rPr>
          <w:bCs/>
          <w:lang w:val="en-US"/>
        </w:rPr>
      </w:pPr>
    </w:p>
    <w:p w14:paraId="59E16A54" w14:textId="77777777" w:rsidR="0070679B" w:rsidRPr="0070679B" w:rsidRDefault="0070679B" w:rsidP="0070679B">
      <w:pPr>
        <w:rPr>
          <w:bCs/>
          <w:lang w:val="en-US"/>
        </w:rPr>
      </w:pPr>
    </w:p>
    <w:p w14:paraId="37B8F5A7" w14:textId="77777777" w:rsidR="0070679B" w:rsidRPr="0070679B" w:rsidRDefault="0070679B" w:rsidP="0070679B">
      <w:pPr>
        <w:rPr>
          <w:bCs/>
          <w:lang w:val="en-US"/>
        </w:rPr>
      </w:pPr>
    </w:p>
    <w:p w14:paraId="4DB4D90A" w14:textId="77777777" w:rsidR="0070679B" w:rsidRPr="0070679B" w:rsidRDefault="0070679B" w:rsidP="0070679B">
      <w:pPr>
        <w:rPr>
          <w:bCs/>
          <w:lang w:val="en-US"/>
        </w:rPr>
      </w:pPr>
    </w:p>
    <w:p w14:paraId="2DF73883" w14:textId="77777777" w:rsidR="0070679B" w:rsidRPr="0070679B" w:rsidRDefault="0070679B" w:rsidP="0070679B">
      <w:pPr>
        <w:rPr>
          <w:bCs/>
          <w:lang w:val="en-US"/>
        </w:rPr>
      </w:pPr>
    </w:p>
    <w:p w14:paraId="003FD84E" w14:textId="77777777" w:rsidR="0070679B" w:rsidRPr="0070679B" w:rsidRDefault="0070679B" w:rsidP="0070679B">
      <w:pPr>
        <w:rPr>
          <w:b/>
          <w:bCs/>
          <w:lang w:val="en-US"/>
        </w:rPr>
      </w:pPr>
      <w:r w:rsidRPr="0070679B">
        <w:rPr>
          <w:b/>
          <w:bCs/>
          <w:lang w:val="en-US"/>
        </w:rPr>
        <w:t>Supplementary Table 2. Sensitivity analyses for model discrimination under different assumptions</w:t>
      </w:r>
    </w:p>
    <w:tbl>
      <w:tblPr>
        <w:tblW w:w="8222" w:type="dxa"/>
        <w:jc w:val="center"/>
        <w:tblBorders>
          <w:top w:val="single" w:sz="4" w:space="0" w:color="auto"/>
          <w:bottom w:val="single" w:sz="4" w:space="0" w:color="auto"/>
        </w:tblBorders>
        <w:tblLook w:val="04A0" w:firstRow="1" w:lastRow="0" w:firstColumn="1" w:lastColumn="0" w:noHBand="0" w:noVBand="1"/>
      </w:tblPr>
      <w:tblGrid>
        <w:gridCol w:w="4820"/>
        <w:gridCol w:w="1276"/>
        <w:gridCol w:w="2126"/>
      </w:tblGrid>
      <w:tr w:rsidR="0070679B" w:rsidRPr="0070679B" w14:paraId="283FC3A9" w14:textId="77777777">
        <w:trPr>
          <w:trHeight w:val="297"/>
          <w:jc w:val="center"/>
        </w:trPr>
        <w:tc>
          <w:tcPr>
            <w:tcW w:w="4820" w:type="dxa"/>
            <w:tcBorders>
              <w:top w:val="single" w:sz="4" w:space="0" w:color="auto"/>
              <w:left w:val="nil"/>
              <w:bottom w:val="single" w:sz="4" w:space="0" w:color="000000" w:themeColor="text1"/>
              <w:right w:val="nil"/>
            </w:tcBorders>
            <w:shd w:val="clear" w:color="auto" w:fill="FFFFFF"/>
            <w:vAlign w:val="center"/>
            <w:hideMark/>
          </w:tcPr>
          <w:p w14:paraId="2C59CC3A" w14:textId="77777777" w:rsidR="0070679B" w:rsidRPr="0070679B" w:rsidRDefault="0070679B" w:rsidP="0070679B">
            <w:pPr>
              <w:rPr>
                <w:b/>
                <w:lang w:val="en-US"/>
              </w:rPr>
            </w:pPr>
            <w:r w:rsidRPr="0070679B">
              <w:rPr>
                <w:b/>
                <w:lang w:val="en-US"/>
              </w:rPr>
              <w:t>Analysis</w:t>
            </w:r>
          </w:p>
        </w:tc>
        <w:tc>
          <w:tcPr>
            <w:tcW w:w="1276" w:type="dxa"/>
            <w:tcBorders>
              <w:top w:val="single" w:sz="4" w:space="0" w:color="auto"/>
              <w:left w:val="nil"/>
              <w:bottom w:val="single" w:sz="4" w:space="0" w:color="000000" w:themeColor="text1"/>
              <w:right w:val="nil"/>
            </w:tcBorders>
            <w:shd w:val="clear" w:color="auto" w:fill="FFFFFF"/>
            <w:vAlign w:val="center"/>
            <w:hideMark/>
          </w:tcPr>
          <w:p w14:paraId="0BFCA724" w14:textId="77777777" w:rsidR="0070679B" w:rsidRPr="0070679B" w:rsidRDefault="0070679B" w:rsidP="0070679B">
            <w:pPr>
              <w:rPr>
                <w:b/>
                <w:lang w:val="en-US"/>
              </w:rPr>
            </w:pPr>
            <w:r w:rsidRPr="0070679B">
              <w:rPr>
                <w:b/>
                <w:lang w:val="en-US"/>
              </w:rPr>
              <w:t>AUC</w:t>
            </w:r>
          </w:p>
        </w:tc>
        <w:tc>
          <w:tcPr>
            <w:tcW w:w="2126" w:type="dxa"/>
            <w:tcBorders>
              <w:top w:val="single" w:sz="4" w:space="0" w:color="auto"/>
              <w:left w:val="nil"/>
              <w:bottom w:val="single" w:sz="4" w:space="0" w:color="000000" w:themeColor="text1"/>
              <w:right w:val="nil"/>
            </w:tcBorders>
            <w:shd w:val="clear" w:color="auto" w:fill="FFFFFF"/>
            <w:vAlign w:val="center"/>
            <w:hideMark/>
          </w:tcPr>
          <w:p w14:paraId="76A4B850" w14:textId="77777777" w:rsidR="0070679B" w:rsidRPr="0070679B" w:rsidRDefault="0070679B" w:rsidP="0070679B">
            <w:pPr>
              <w:rPr>
                <w:b/>
                <w:lang w:val="en-US"/>
              </w:rPr>
            </w:pPr>
            <w:r w:rsidRPr="0070679B">
              <w:rPr>
                <w:b/>
                <w:lang w:val="en-US"/>
              </w:rPr>
              <w:t>95% CI</w:t>
            </w:r>
          </w:p>
        </w:tc>
      </w:tr>
      <w:tr w:rsidR="0070679B" w:rsidRPr="0070679B" w14:paraId="401A1380" w14:textId="77777777">
        <w:trPr>
          <w:trHeight w:val="297"/>
          <w:jc w:val="center"/>
        </w:trPr>
        <w:tc>
          <w:tcPr>
            <w:tcW w:w="4820" w:type="dxa"/>
            <w:tcBorders>
              <w:top w:val="single" w:sz="4" w:space="0" w:color="000000" w:themeColor="text1"/>
              <w:left w:val="nil"/>
              <w:bottom w:val="single" w:sz="4" w:space="0" w:color="E8E8E8" w:themeColor="background2"/>
              <w:right w:val="nil"/>
            </w:tcBorders>
            <w:shd w:val="clear" w:color="auto" w:fill="FFFFFF"/>
            <w:vAlign w:val="center"/>
            <w:hideMark/>
          </w:tcPr>
          <w:p w14:paraId="3141E1C5" w14:textId="77777777" w:rsidR="0070679B" w:rsidRPr="0070679B" w:rsidRDefault="0070679B" w:rsidP="0070679B">
            <w:pPr>
              <w:rPr>
                <w:bCs/>
                <w:lang w:val="en-US"/>
              </w:rPr>
            </w:pPr>
            <w:r w:rsidRPr="0070679B">
              <w:rPr>
                <w:bCs/>
                <w:lang w:val="en-US"/>
              </w:rPr>
              <w:t>Primary model (binary surgical extent)</w:t>
            </w:r>
          </w:p>
        </w:tc>
        <w:tc>
          <w:tcPr>
            <w:tcW w:w="1276" w:type="dxa"/>
            <w:tcBorders>
              <w:top w:val="single" w:sz="4" w:space="0" w:color="000000" w:themeColor="text1"/>
              <w:left w:val="nil"/>
              <w:bottom w:val="single" w:sz="4" w:space="0" w:color="E8E8E8" w:themeColor="background2"/>
              <w:right w:val="nil"/>
            </w:tcBorders>
            <w:shd w:val="clear" w:color="auto" w:fill="FFFFFF"/>
            <w:vAlign w:val="center"/>
            <w:hideMark/>
          </w:tcPr>
          <w:p w14:paraId="477EFEF5" w14:textId="77777777" w:rsidR="0070679B" w:rsidRPr="0070679B" w:rsidRDefault="0070679B" w:rsidP="0070679B">
            <w:pPr>
              <w:rPr>
                <w:bCs/>
                <w:lang w:val="en-US"/>
              </w:rPr>
            </w:pPr>
            <w:r w:rsidRPr="0070679B">
              <w:rPr>
                <w:bCs/>
                <w:lang w:val="en-US"/>
              </w:rPr>
              <w:t>0.629</w:t>
            </w:r>
          </w:p>
        </w:tc>
        <w:tc>
          <w:tcPr>
            <w:tcW w:w="2126" w:type="dxa"/>
            <w:tcBorders>
              <w:top w:val="single" w:sz="4" w:space="0" w:color="000000" w:themeColor="text1"/>
              <w:left w:val="nil"/>
              <w:bottom w:val="single" w:sz="4" w:space="0" w:color="E8E8E8" w:themeColor="background2"/>
              <w:right w:val="nil"/>
            </w:tcBorders>
            <w:shd w:val="clear" w:color="auto" w:fill="FFFFFF"/>
            <w:vAlign w:val="center"/>
            <w:hideMark/>
          </w:tcPr>
          <w:p w14:paraId="6E07E647" w14:textId="77777777" w:rsidR="0070679B" w:rsidRPr="0070679B" w:rsidRDefault="0070679B" w:rsidP="0070679B">
            <w:pPr>
              <w:rPr>
                <w:bCs/>
                <w:lang w:val="en-US"/>
              </w:rPr>
            </w:pPr>
            <w:r w:rsidRPr="0070679B">
              <w:rPr>
                <w:bCs/>
                <w:lang w:val="en-US"/>
              </w:rPr>
              <w:t>0.488–0.770</w:t>
            </w:r>
          </w:p>
        </w:tc>
      </w:tr>
      <w:tr w:rsidR="0070679B" w:rsidRPr="0070679B" w14:paraId="1D7E51C7" w14:textId="77777777">
        <w:trPr>
          <w:trHeight w:val="297"/>
          <w:jc w:val="center"/>
        </w:trPr>
        <w:tc>
          <w:tcPr>
            <w:tcW w:w="4820" w:type="dxa"/>
            <w:tcBorders>
              <w:top w:val="single" w:sz="4" w:space="0" w:color="E8E8E8" w:themeColor="background2"/>
              <w:left w:val="nil"/>
              <w:bottom w:val="single" w:sz="4" w:space="0" w:color="E8E8E8" w:themeColor="background2"/>
              <w:right w:val="nil"/>
            </w:tcBorders>
            <w:shd w:val="clear" w:color="auto" w:fill="FFFFFF"/>
            <w:vAlign w:val="center"/>
            <w:hideMark/>
          </w:tcPr>
          <w:p w14:paraId="436AE9F2" w14:textId="77777777" w:rsidR="0070679B" w:rsidRPr="0070679B" w:rsidRDefault="0070679B" w:rsidP="0070679B">
            <w:pPr>
              <w:rPr>
                <w:bCs/>
                <w:lang w:val="en-US"/>
              </w:rPr>
            </w:pPr>
            <w:r w:rsidRPr="0070679B">
              <w:rPr>
                <w:bCs/>
                <w:lang w:val="en-US"/>
              </w:rPr>
              <w:t>Surgical extent as three-level classification</w:t>
            </w:r>
          </w:p>
        </w:tc>
        <w:tc>
          <w:tcPr>
            <w:tcW w:w="1276" w:type="dxa"/>
            <w:tcBorders>
              <w:top w:val="single" w:sz="4" w:space="0" w:color="E8E8E8" w:themeColor="background2"/>
              <w:left w:val="nil"/>
              <w:bottom w:val="single" w:sz="4" w:space="0" w:color="E8E8E8" w:themeColor="background2"/>
              <w:right w:val="nil"/>
            </w:tcBorders>
            <w:shd w:val="clear" w:color="auto" w:fill="FFFFFF"/>
            <w:vAlign w:val="center"/>
            <w:hideMark/>
          </w:tcPr>
          <w:p w14:paraId="779DB796" w14:textId="77777777" w:rsidR="0070679B" w:rsidRPr="0070679B" w:rsidRDefault="0070679B" w:rsidP="0070679B">
            <w:pPr>
              <w:rPr>
                <w:bCs/>
                <w:lang w:val="en-US"/>
              </w:rPr>
            </w:pPr>
            <w:r w:rsidRPr="0070679B">
              <w:rPr>
                <w:bCs/>
                <w:lang w:val="en-US"/>
              </w:rPr>
              <w:t>0.624</w:t>
            </w:r>
          </w:p>
        </w:tc>
        <w:tc>
          <w:tcPr>
            <w:tcW w:w="2126" w:type="dxa"/>
            <w:tcBorders>
              <w:top w:val="single" w:sz="4" w:space="0" w:color="E8E8E8" w:themeColor="background2"/>
              <w:left w:val="nil"/>
              <w:bottom w:val="single" w:sz="4" w:space="0" w:color="E8E8E8" w:themeColor="background2"/>
              <w:right w:val="nil"/>
            </w:tcBorders>
            <w:shd w:val="clear" w:color="auto" w:fill="FFFFFF"/>
            <w:vAlign w:val="center"/>
            <w:hideMark/>
          </w:tcPr>
          <w:p w14:paraId="7898EB0D" w14:textId="77777777" w:rsidR="0070679B" w:rsidRPr="0070679B" w:rsidRDefault="0070679B" w:rsidP="0070679B">
            <w:pPr>
              <w:rPr>
                <w:bCs/>
                <w:lang w:val="en-US"/>
              </w:rPr>
            </w:pPr>
            <w:r w:rsidRPr="0070679B">
              <w:rPr>
                <w:bCs/>
                <w:lang w:val="en-US"/>
              </w:rPr>
              <w:t>0.482–0.766</w:t>
            </w:r>
          </w:p>
        </w:tc>
      </w:tr>
      <w:tr w:rsidR="0070679B" w:rsidRPr="0070679B" w14:paraId="69962DA6" w14:textId="77777777">
        <w:trPr>
          <w:trHeight w:val="297"/>
          <w:jc w:val="center"/>
        </w:trPr>
        <w:tc>
          <w:tcPr>
            <w:tcW w:w="4820" w:type="dxa"/>
            <w:tcBorders>
              <w:top w:val="single" w:sz="4" w:space="0" w:color="E8E8E8" w:themeColor="background2"/>
              <w:left w:val="nil"/>
              <w:bottom w:val="single" w:sz="4" w:space="0" w:color="E8E8E8" w:themeColor="background2"/>
              <w:right w:val="nil"/>
            </w:tcBorders>
            <w:shd w:val="clear" w:color="auto" w:fill="FFFFFF"/>
            <w:vAlign w:val="center"/>
            <w:hideMark/>
          </w:tcPr>
          <w:p w14:paraId="1214031B" w14:textId="77777777" w:rsidR="0070679B" w:rsidRPr="0070679B" w:rsidRDefault="0070679B" w:rsidP="0070679B">
            <w:pPr>
              <w:rPr>
                <w:bCs/>
                <w:lang w:val="en-US"/>
              </w:rPr>
            </w:pPr>
            <w:r w:rsidRPr="0070679B">
              <w:rPr>
                <w:bCs/>
                <w:lang w:val="en-US"/>
              </w:rPr>
              <w:lastRenderedPageBreak/>
              <w:t>Missing outcomes imputed as no event</w:t>
            </w:r>
          </w:p>
        </w:tc>
        <w:tc>
          <w:tcPr>
            <w:tcW w:w="1276" w:type="dxa"/>
            <w:tcBorders>
              <w:top w:val="single" w:sz="4" w:space="0" w:color="E8E8E8" w:themeColor="background2"/>
              <w:left w:val="nil"/>
              <w:bottom w:val="single" w:sz="4" w:space="0" w:color="E8E8E8" w:themeColor="background2"/>
              <w:right w:val="nil"/>
            </w:tcBorders>
            <w:shd w:val="clear" w:color="auto" w:fill="FFFFFF"/>
            <w:vAlign w:val="center"/>
            <w:hideMark/>
          </w:tcPr>
          <w:p w14:paraId="24C7E50C" w14:textId="77777777" w:rsidR="0070679B" w:rsidRPr="0070679B" w:rsidRDefault="0070679B" w:rsidP="0070679B">
            <w:pPr>
              <w:rPr>
                <w:bCs/>
                <w:lang w:val="en-US"/>
              </w:rPr>
            </w:pPr>
            <w:r w:rsidRPr="0070679B">
              <w:rPr>
                <w:bCs/>
                <w:lang w:val="en-US"/>
              </w:rPr>
              <w:t>0.618</w:t>
            </w:r>
          </w:p>
        </w:tc>
        <w:tc>
          <w:tcPr>
            <w:tcW w:w="2126" w:type="dxa"/>
            <w:tcBorders>
              <w:top w:val="single" w:sz="4" w:space="0" w:color="E8E8E8" w:themeColor="background2"/>
              <w:left w:val="nil"/>
              <w:bottom w:val="single" w:sz="4" w:space="0" w:color="E8E8E8" w:themeColor="background2"/>
              <w:right w:val="nil"/>
            </w:tcBorders>
            <w:shd w:val="clear" w:color="auto" w:fill="FFFFFF"/>
            <w:vAlign w:val="center"/>
            <w:hideMark/>
          </w:tcPr>
          <w:p w14:paraId="23AAC6B7" w14:textId="77777777" w:rsidR="0070679B" w:rsidRPr="0070679B" w:rsidRDefault="0070679B" w:rsidP="0070679B">
            <w:pPr>
              <w:rPr>
                <w:bCs/>
                <w:lang w:val="en-US"/>
              </w:rPr>
            </w:pPr>
            <w:r w:rsidRPr="0070679B">
              <w:rPr>
                <w:bCs/>
                <w:lang w:val="en-US"/>
              </w:rPr>
              <w:t>0.477–0.760</w:t>
            </w:r>
          </w:p>
        </w:tc>
      </w:tr>
      <w:tr w:rsidR="0070679B" w:rsidRPr="0070679B" w14:paraId="585723E0" w14:textId="77777777">
        <w:trPr>
          <w:trHeight w:val="297"/>
          <w:jc w:val="center"/>
        </w:trPr>
        <w:tc>
          <w:tcPr>
            <w:tcW w:w="4820" w:type="dxa"/>
            <w:tcBorders>
              <w:top w:val="single" w:sz="4" w:space="0" w:color="E8E8E8" w:themeColor="background2"/>
              <w:left w:val="nil"/>
              <w:bottom w:val="single" w:sz="4" w:space="0" w:color="auto"/>
              <w:right w:val="nil"/>
            </w:tcBorders>
            <w:shd w:val="clear" w:color="auto" w:fill="FFFFFF"/>
            <w:vAlign w:val="center"/>
            <w:hideMark/>
          </w:tcPr>
          <w:p w14:paraId="41622AF9" w14:textId="77777777" w:rsidR="0070679B" w:rsidRPr="0070679B" w:rsidRDefault="0070679B" w:rsidP="0070679B">
            <w:pPr>
              <w:rPr>
                <w:bCs/>
                <w:lang w:val="en-US"/>
              </w:rPr>
            </w:pPr>
            <w:r w:rsidRPr="0070679B">
              <w:rPr>
                <w:bCs/>
                <w:lang w:val="en-US"/>
              </w:rPr>
              <w:t>Missing outcomes imputed as event</w:t>
            </w:r>
          </w:p>
        </w:tc>
        <w:tc>
          <w:tcPr>
            <w:tcW w:w="1276" w:type="dxa"/>
            <w:tcBorders>
              <w:top w:val="single" w:sz="4" w:space="0" w:color="E8E8E8" w:themeColor="background2"/>
              <w:left w:val="nil"/>
              <w:bottom w:val="single" w:sz="4" w:space="0" w:color="auto"/>
              <w:right w:val="nil"/>
            </w:tcBorders>
            <w:shd w:val="clear" w:color="auto" w:fill="FFFFFF"/>
            <w:vAlign w:val="center"/>
            <w:hideMark/>
          </w:tcPr>
          <w:p w14:paraId="6E175AFC" w14:textId="77777777" w:rsidR="0070679B" w:rsidRPr="0070679B" w:rsidRDefault="0070679B" w:rsidP="0070679B">
            <w:pPr>
              <w:rPr>
                <w:bCs/>
                <w:lang w:val="en-US"/>
              </w:rPr>
            </w:pPr>
            <w:r w:rsidRPr="0070679B">
              <w:rPr>
                <w:bCs/>
                <w:lang w:val="en-US"/>
              </w:rPr>
              <w:t>0.625</w:t>
            </w:r>
          </w:p>
        </w:tc>
        <w:tc>
          <w:tcPr>
            <w:tcW w:w="2126" w:type="dxa"/>
            <w:tcBorders>
              <w:top w:val="single" w:sz="4" w:space="0" w:color="E8E8E8" w:themeColor="background2"/>
              <w:left w:val="nil"/>
              <w:bottom w:val="single" w:sz="4" w:space="0" w:color="auto"/>
              <w:right w:val="nil"/>
            </w:tcBorders>
            <w:shd w:val="clear" w:color="auto" w:fill="FFFFFF"/>
            <w:vAlign w:val="center"/>
            <w:hideMark/>
          </w:tcPr>
          <w:p w14:paraId="110A6F29" w14:textId="77777777" w:rsidR="0070679B" w:rsidRPr="0070679B" w:rsidRDefault="0070679B" w:rsidP="0070679B">
            <w:pPr>
              <w:rPr>
                <w:bCs/>
                <w:lang w:val="en-US"/>
              </w:rPr>
            </w:pPr>
            <w:r w:rsidRPr="0070679B">
              <w:rPr>
                <w:bCs/>
                <w:lang w:val="en-US"/>
              </w:rPr>
              <w:t>0.491–0.758</w:t>
            </w:r>
          </w:p>
        </w:tc>
      </w:tr>
    </w:tbl>
    <w:p w14:paraId="22083A1E" w14:textId="77777777" w:rsidR="0070679B" w:rsidRPr="0070679B" w:rsidRDefault="0070679B" w:rsidP="0070679B">
      <w:pPr>
        <w:rPr>
          <w:bCs/>
          <w:lang w:val="en-US"/>
        </w:rPr>
      </w:pPr>
      <w:r w:rsidRPr="0070679B">
        <w:rPr>
          <w:bCs/>
          <w:lang w:val="en-US"/>
        </w:rPr>
        <w:t>AUC = area under the curve; CI = confidence interval. Data are presented as AUC with 95% CI. The primary model refers to the main multivariable model with binary surgical extent classification.</w:t>
      </w:r>
    </w:p>
    <w:p w14:paraId="30AA6066" w14:textId="77777777" w:rsidR="0070679B" w:rsidRPr="0070679B" w:rsidRDefault="0070679B" w:rsidP="0070679B">
      <w:pPr>
        <w:rPr>
          <w:bCs/>
          <w:lang w:val="en-US"/>
        </w:rPr>
      </w:pPr>
    </w:p>
    <w:p w14:paraId="1340F82F" w14:textId="77777777" w:rsidR="0070679B" w:rsidRPr="0070679B" w:rsidRDefault="0070679B" w:rsidP="0070679B">
      <w:pPr>
        <w:rPr>
          <w:bCs/>
          <w:lang w:val="en-US"/>
        </w:rPr>
      </w:pPr>
    </w:p>
    <w:p w14:paraId="3E7DCF5B" w14:textId="77777777" w:rsidR="0070679B" w:rsidRPr="0070679B" w:rsidRDefault="0070679B" w:rsidP="0070679B">
      <w:pPr>
        <w:rPr>
          <w:bCs/>
          <w:lang w:val="en-US"/>
        </w:rPr>
      </w:pPr>
    </w:p>
    <w:p w14:paraId="7B88BD4E" w14:textId="77777777" w:rsidR="0070679B" w:rsidRPr="0070679B" w:rsidRDefault="0070679B" w:rsidP="0070679B">
      <w:pPr>
        <w:rPr>
          <w:bCs/>
          <w:lang w:val="en-US"/>
        </w:rPr>
      </w:pPr>
    </w:p>
    <w:p w14:paraId="47D36514" w14:textId="77777777" w:rsidR="0070679B" w:rsidRPr="0070679B" w:rsidRDefault="0070679B" w:rsidP="0070679B">
      <w:pPr>
        <w:rPr>
          <w:bCs/>
          <w:lang w:val="en-US"/>
        </w:rPr>
      </w:pPr>
    </w:p>
    <w:p w14:paraId="13D980F7" w14:textId="77777777" w:rsidR="0070679B" w:rsidRPr="0070679B" w:rsidRDefault="0070679B" w:rsidP="0070679B">
      <w:pPr>
        <w:rPr>
          <w:bCs/>
          <w:lang w:val="en-US"/>
        </w:rPr>
      </w:pPr>
    </w:p>
    <w:p w14:paraId="1A354F43" w14:textId="77777777" w:rsidR="0070679B" w:rsidRPr="0070679B" w:rsidRDefault="0070679B" w:rsidP="0070679B">
      <w:pPr>
        <w:rPr>
          <w:bCs/>
          <w:lang w:val="en-US"/>
        </w:rPr>
      </w:pPr>
    </w:p>
    <w:p w14:paraId="0A2E746A" w14:textId="77777777" w:rsidR="0070679B" w:rsidRPr="0070679B" w:rsidRDefault="0070679B" w:rsidP="0070679B">
      <w:pPr>
        <w:rPr>
          <w:bCs/>
          <w:lang w:val="en-US"/>
        </w:rPr>
      </w:pPr>
    </w:p>
    <w:p w14:paraId="3334CD64" w14:textId="77777777" w:rsidR="0070679B" w:rsidRPr="0070679B" w:rsidRDefault="0070679B" w:rsidP="0070679B">
      <w:pPr>
        <w:rPr>
          <w:bCs/>
          <w:lang w:val="en-US"/>
        </w:rPr>
      </w:pPr>
    </w:p>
    <w:p w14:paraId="0BB848BA" w14:textId="77777777" w:rsidR="0070679B" w:rsidRPr="0070679B" w:rsidRDefault="0070679B" w:rsidP="0070679B">
      <w:pPr>
        <w:rPr>
          <w:bCs/>
          <w:lang w:val="en-US"/>
        </w:rPr>
      </w:pPr>
    </w:p>
    <w:p w14:paraId="37CAC16A" w14:textId="77777777" w:rsidR="0070679B" w:rsidRPr="0070679B" w:rsidRDefault="0070679B" w:rsidP="0070679B">
      <w:pPr>
        <w:rPr>
          <w:bCs/>
          <w:lang w:val="en-US"/>
        </w:rPr>
      </w:pPr>
    </w:p>
    <w:p w14:paraId="786AE209" w14:textId="77777777" w:rsidR="0070679B" w:rsidRPr="0070679B" w:rsidRDefault="0070679B" w:rsidP="0070679B">
      <w:pPr>
        <w:rPr>
          <w:bCs/>
          <w:lang w:val="en-US"/>
        </w:rPr>
      </w:pPr>
    </w:p>
    <w:p w14:paraId="376E6E01" w14:textId="77777777" w:rsidR="0070679B" w:rsidRPr="0070679B" w:rsidRDefault="0070679B" w:rsidP="0070679B">
      <w:pPr>
        <w:rPr>
          <w:bCs/>
          <w:lang w:val="en-US"/>
        </w:rPr>
      </w:pPr>
    </w:p>
    <w:p w14:paraId="227EE439" w14:textId="77777777" w:rsidR="0070679B" w:rsidRPr="0070679B" w:rsidRDefault="0070679B" w:rsidP="0070679B">
      <w:pPr>
        <w:rPr>
          <w:bCs/>
          <w:lang w:val="en-US"/>
        </w:rPr>
      </w:pPr>
    </w:p>
    <w:p w14:paraId="79061999" w14:textId="77777777" w:rsidR="0070679B" w:rsidRPr="0070679B" w:rsidRDefault="0070679B" w:rsidP="0070679B">
      <w:pPr>
        <w:rPr>
          <w:bCs/>
          <w:lang w:val="en-US"/>
        </w:rPr>
      </w:pPr>
      <w:r w:rsidRPr="0070679B">
        <w:rPr>
          <w:b/>
          <w:bCs/>
          <w:lang w:val="en-US"/>
        </w:rPr>
        <w:t>Supplementary Table 3.</w:t>
      </w:r>
      <w:r w:rsidRPr="0070679B">
        <w:rPr>
          <w:lang w:val="en-US"/>
        </w:rPr>
        <w:t xml:space="preserve"> </w:t>
      </w:r>
      <w:r w:rsidRPr="0070679B">
        <w:rPr>
          <w:b/>
          <w:bCs/>
          <w:lang w:val="en-US"/>
        </w:rPr>
        <w:t>Comparison of discrimination between the POD1 total calcium-only model and the main multivariable model</w:t>
      </w:r>
    </w:p>
    <w:tbl>
      <w:tblPr>
        <w:tblW w:w="8222" w:type="dxa"/>
        <w:jc w:val="center"/>
        <w:tblBorders>
          <w:top w:val="single" w:sz="4" w:space="0" w:color="auto"/>
          <w:bottom w:val="single" w:sz="4" w:space="0" w:color="auto"/>
        </w:tblBorders>
        <w:tblLook w:val="04A0" w:firstRow="1" w:lastRow="0" w:firstColumn="1" w:lastColumn="0" w:noHBand="0" w:noVBand="1"/>
      </w:tblPr>
      <w:tblGrid>
        <w:gridCol w:w="4820"/>
        <w:gridCol w:w="1276"/>
        <w:gridCol w:w="2126"/>
      </w:tblGrid>
      <w:tr w:rsidR="0070679B" w:rsidRPr="0070679B" w14:paraId="2376A370" w14:textId="77777777">
        <w:trPr>
          <w:trHeight w:val="297"/>
          <w:jc w:val="center"/>
        </w:trPr>
        <w:tc>
          <w:tcPr>
            <w:tcW w:w="4820" w:type="dxa"/>
            <w:tcBorders>
              <w:top w:val="single" w:sz="4" w:space="0" w:color="auto"/>
              <w:left w:val="nil"/>
              <w:bottom w:val="single" w:sz="4" w:space="0" w:color="000000" w:themeColor="text1"/>
              <w:right w:val="nil"/>
            </w:tcBorders>
            <w:shd w:val="clear" w:color="auto" w:fill="FFFFFF"/>
            <w:vAlign w:val="center"/>
            <w:hideMark/>
          </w:tcPr>
          <w:p w14:paraId="7A10F9F1" w14:textId="77777777" w:rsidR="0070679B" w:rsidRPr="0070679B" w:rsidRDefault="0070679B" w:rsidP="0070679B">
            <w:pPr>
              <w:rPr>
                <w:b/>
                <w:lang w:val="en-US"/>
              </w:rPr>
            </w:pPr>
            <w:r w:rsidRPr="0070679B">
              <w:rPr>
                <w:b/>
                <w:lang w:val="en-US"/>
              </w:rPr>
              <w:t>Model</w:t>
            </w:r>
          </w:p>
        </w:tc>
        <w:tc>
          <w:tcPr>
            <w:tcW w:w="1276" w:type="dxa"/>
            <w:tcBorders>
              <w:top w:val="single" w:sz="4" w:space="0" w:color="auto"/>
              <w:left w:val="nil"/>
              <w:bottom w:val="single" w:sz="4" w:space="0" w:color="000000" w:themeColor="text1"/>
              <w:right w:val="nil"/>
            </w:tcBorders>
            <w:shd w:val="clear" w:color="auto" w:fill="FFFFFF"/>
            <w:vAlign w:val="center"/>
            <w:hideMark/>
          </w:tcPr>
          <w:p w14:paraId="78517A06" w14:textId="77777777" w:rsidR="0070679B" w:rsidRPr="0070679B" w:rsidRDefault="0070679B" w:rsidP="0070679B">
            <w:pPr>
              <w:rPr>
                <w:b/>
                <w:lang w:val="en-US"/>
              </w:rPr>
            </w:pPr>
            <w:r w:rsidRPr="0070679B">
              <w:rPr>
                <w:b/>
                <w:lang w:val="en-US"/>
              </w:rPr>
              <w:t>AUC</w:t>
            </w:r>
          </w:p>
        </w:tc>
        <w:tc>
          <w:tcPr>
            <w:tcW w:w="2126" w:type="dxa"/>
            <w:tcBorders>
              <w:top w:val="single" w:sz="4" w:space="0" w:color="auto"/>
              <w:left w:val="nil"/>
              <w:bottom w:val="single" w:sz="4" w:space="0" w:color="000000" w:themeColor="text1"/>
              <w:right w:val="nil"/>
            </w:tcBorders>
            <w:shd w:val="clear" w:color="auto" w:fill="FFFFFF"/>
            <w:vAlign w:val="center"/>
            <w:hideMark/>
          </w:tcPr>
          <w:p w14:paraId="68C33289" w14:textId="77777777" w:rsidR="0070679B" w:rsidRPr="0070679B" w:rsidRDefault="0070679B" w:rsidP="0070679B">
            <w:pPr>
              <w:rPr>
                <w:b/>
                <w:lang w:val="en-US"/>
              </w:rPr>
            </w:pPr>
            <w:r w:rsidRPr="0070679B">
              <w:rPr>
                <w:b/>
                <w:lang w:val="en-US"/>
              </w:rPr>
              <w:t>95% CI</w:t>
            </w:r>
          </w:p>
        </w:tc>
      </w:tr>
      <w:tr w:rsidR="0070679B" w:rsidRPr="0070679B" w14:paraId="63939465" w14:textId="77777777">
        <w:trPr>
          <w:trHeight w:val="297"/>
          <w:jc w:val="center"/>
        </w:trPr>
        <w:tc>
          <w:tcPr>
            <w:tcW w:w="4820" w:type="dxa"/>
            <w:tcBorders>
              <w:top w:val="single" w:sz="4" w:space="0" w:color="000000" w:themeColor="text1"/>
              <w:left w:val="nil"/>
              <w:bottom w:val="single" w:sz="4" w:space="0" w:color="E8E8E8" w:themeColor="background2"/>
              <w:right w:val="nil"/>
            </w:tcBorders>
            <w:shd w:val="clear" w:color="auto" w:fill="FFFFFF"/>
            <w:vAlign w:val="center"/>
            <w:hideMark/>
          </w:tcPr>
          <w:p w14:paraId="1968C839" w14:textId="77777777" w:rsidR="0070679B" w:rsidRPr="0070679B" w:rsidRDefault="0070679B" w:rsidP="0070679B">
            <w:pPr>
              <w:rPr>
                <w:bCs/>
                <w:lang w:val="en-US"/>
              </w:rPr>
            </w:pPr>
            <w:r w:rsidRPr="0070679B">
              <w:rPr>
                <w:bCs/>
                <w:lang w:val="en-US"/>
              </w:rPr>
              <w:t>POD1 total calcium only</w:t>
            </w:r>
          </w:p>
        </w:tc>
        <w:tc>
          <w:tcPr>
            <w:tcW w:w="1276" w:type="dxa"/>
            <w:tcBorders>
              <w:top w:val="single" w:sz="4" w:space="0" w:color="000000" w:themeColor="text1"/>
              <w:left w:val="nil"/>
              <w:bottom w:val="single" w:sz="4" w:space="0" w:color="E8E8E8" w:themeColor="background2"/>
              <w:right w:val="nil"/>
            </w:tcBorders>
            <w:shd w:val="clear" w:color="auto" w:fill="FFFFFF"/>
            <w:vAlign w:val="center"/>
            <w:hideMark/>
          </w:tcPr>
          <w:p w14:paraId="63D5DF96" w14:textId="77777777" w:rsidR="0070679B" w:rsidRPr="0070679B" w:rsidRDefault="0070679B" w:rsidP="0070679B">
            <w:pPr>
              <w:rPr>
                <w:bCs/>
                <w:lang w:val="en-US"/>
              </w:rPr>
            </w:pPr>
            <w:r w:rsidRPr="0070679B">
              <w:rPr>
                <w:bCs/>
                <w:lang w:val="en-US"/>
              </w:rPr>
              <w:t>0.625</w:t>
            </w:r>
          </w:p>
        </w:tc>
        <w:tc>
          <w:tcPr>
            <w:tcW w:w="2126" w:type="dxa"/>
            <w:tcBorders>
              <w:top w:val="single" w:sz="4" w:space="0" w:color="000000" w:themeColor="text1"/>
              <w:left w:val="nil"/>
              <w:bottom w:val="single" w:sz="4" w:space="0" w:color="E8E8E8" w:themeColor="background2"/>
              <w:right w:val="nil"/>
            </w:tcBorders>
            <w:shd w:val="clear" w:color="auto" w:fill="FFFFFF"/>
            <w:vAlign w:val="center"/>
            <w:hideMark/>
          </w:tcPr>
          <w:p w14:paraId="1EEF7621" w14:textId="77777777" w:rsidR="0070679B" w:rsidRPr="0070679B" w:rsidRDefault="0070679B" w:rsidP="0070679B">
            <w:pPr>
              <w:rPr>
                <w:bCs/>
                <w:lang w:val="en-US"/>
              </w:rPr>
            </w:pPr>
            <w:r w:rsidRPr="0070679B">
              <w:rPr>
                <w:bCs/>
                <w:lang w:val="en-US"/>
              </w:rPr>
              <w:t>0.484–0.766</w:t>
            </w:r>
          </w:p>
        </w:tc>
      </w:tr>
      <w:tr w:rsidR="0070679B" w:rsidRPr="0070679B" w14:paraId="7205A53E" w14:textId="77777777">
        <w:trPr>
          <w:trHeight w:val="297"/>
          <w:jc w:val="center"/>
        </w:trPr>
        <w:tc>
          <w:tcPr>
            <w:tcW w:w="4820" w:type="dxa"/>
            <w:tcBorders>
              <w:top w:val="single" w:sz="4" w:space="0" w:color="E8E8E8" w:themeColor="background2"/>
              <w:left w:val="nil"/>
              <w:bottom w:val="single" w:sz="4" w:space="0" w:color="auto"/>
              <w:right w:val="nil"/>
            </w:tcBorders>
            <w:shd w:val="clear" w:color="auto" w:fill="FFFFFF"/>
            <w:vAlign w:val="center"/>
            <w:hideMark/>
          </w:tcPr>
          <w:p w14:paraId="2FB0E0AD" w14:textId="77777777" w:rsidR="0070679B" w:rsidRPr="0070679B" w:rsidRDefault="0070679B" w:rsidP="0070679B">
            <w:pPr>
              <w:rPr>
                <w:bCs/>
                <w:lang w:val="en-US"/>
              </w:rPr>
            </w:pPr>
            <w:r w:rsidRPr="0070679B">
              <w:rPr>
                <w:bCs/>
                <w:lang w:val="en-US"/>
              </w:rPr>
              <w:t>Main multivariable model</w:t>
            </w:r>
          </w:p>
        </w:tc>
        <w:tc>
          <w:tcPr>
            <w:tcW w:w="1276" w:type="dxa"/>
            <w:tcBorders>
              <w:top w:val="single" w:sz="4" w:space="0" w:color="E8E8E8" w:themeColor="background2"/>
              <w:left w:val="nil"/>
              <w:bottom w:val="single" w:sz="4" w:space="0" w:color="auto"/>
              <w:right w:val="nil"/>
            </w:tcBorders>
            <w:shd w:val="clear" w:color="auto" w:fill="FFFFFF"/>
            <w:vAlign w:val="center"/>
            <w:hideMark/>
          </w:tcPr>
          <w:p w14:paraId="2FA81B99" w14:textId="77777777" w:rsidR="0070679B" w:rsidRPr="0070679B" w:rsidRDefault="0070679B" w:rsidP="0070679B">
            <w:pPr>
              <w:rPr>
                <w:bCs/>
                <w:lang w:val="en-US"/>
              </w:rPr>
            </w:pPr>
            <w:r w:rsidRPr="0070679B">
              <w:rPr>
                <w:bCs/>
                <w:lang w:val="en-US"/>
              </w:rPr>
              <w:t>0.629</w:t>
            </w:r>
          </w:p>
        </w:tc>
        <w:tc>
          <w:tcPr>
            <w:tcW w:w="2126" w:type="dxa"/>
            <w:tcBorders>
              <w:top w:val="single" w:sz="4" w:space="0" w:color="E8E8E8" w:themeColor="background2"/>
              <w:left w:val="nil"/>
              <w:bottom w:val="single" w:sz="4" w:space="0" w:color="auto"/>
              <w:right w:val="nil"/>
            </w:tcBorders>
            <w:shd w:val="clear" w:color="auto" w:fill="FFFFFF"/>
            <w:vAlign w:val="center"/>
            <w:hideMark/>
          </w:tcPr>
          <w:p w14:paraId="5F3792BF" w14:textId="77777777" w:rsidR="0070679B" w:rsidRPr="0070679B" w:rsidRDefault="0070679B" w:rsidP="0070679B">
            <w:pPr>
              <w:rPr>
                <w:bCs/>
                <w:lang w:val="en-US"/>
              </w:rPr>
            </w:pPr>
            <w:r w:rsidRPr="0070679B">
              <w:rPr>
                <w:bCs/>
                <w:lang w:val="en-US"/>
              </w:rPr>
              <w:t>0.488–0.770</w:t>
            </w:r>
          </w:p>
        </w:tc>
      </w:tr>
    </w:tbl>
    <w:p w14:paraId="5DA11F07" w14:textId="77777777" w:rsidR="0070679B" w:rsidRPr="0070679B" w:rsidRDefault="0070679B" w:rsidP="0070679B">
      <w:pPr>
        <w:rPr>
          <w:bCs/>
          <w:lang w:val="en-US"/>
        </w:rPr>
      </w:pPr>
      <w:r w:rsidRPr="0070679B">
        <w:rPr>
          <w:bCs/>
          <w:lang w:val="en-US"/>
        </w:rPr>
        <w:t>AUC = area under the curve; CI = confidence interval; POD1 = postoperative day 1. Discrimination was assessed in the temporal validation cohort (2025, n = 73 with non-missing outcomes).</w:t>
      </w:r>
    </w:p>
    <w:p w14:paraId="093031C7" w14:textId="77777777" w:rsidR="0070679B" w:rsidRPr="0070679B" w:rsidRDefault="0070679B" w:rsidP="0070679B">
      <w:pPr>
        <w:rPr>
          <w:bCs/>
          <w:lang w:val="en-US"/>
        </w:rPr>
      </w:pPr>
    </w:p>
    <w:p w14:paraId="18F257CB" w14:textId="77777777" w:rsidR="0070679B" w:rsidRPr="0070679B" w:rsidRDefault="0070679B" w:rsidP="0070679B">
      <w:pPr>
        <w:rPr>
          <w:bCs/>
          <w:lang w:val="en-US"/>
        </w:rPr>
      </w:pPr>
    </w:p>
    <w:p w14:paraId="241EB893" w14:textId="77777777" w:rsidR="0070679B" w:rsidRPr="0070679B" w:rsidRDefault="0070679B" w:rsidP="0070679B">
      <w:pPr>
        <w:rPr>
          <w:bCs/>
          <w:lang w:val="en-US"/>
        </w:rPr>
      </w:pPr>
    </w:p>
    <w:p w14:paraId="499BB139" w14:textId="77777777" w:rsidR="0070679B" w:rsidRPr="0070679B" w:rsidRDefault="0070679B" w:rsidP="0070679B">
      <w:pPr>
        <w:rPr>
          <w:bCs/>
          <w:lang w:val="en-US"/>
        </w:rPr>
      </w:pPr>
    </w:p>
    <w:p w14:paraId="74EABF08" w14:textId="77777777" w:rsidR="0070679B" w:rsidRPr="0070679B" w:rsidRDefault="0070679B" w:rsidP="0070679B">
      <w:pPr>
        <w:rPr>
          <w:bCs/>
          <w:lang w:val="en-US"/>
        </w:rPr>
      </w:pPr>
    </w:p>
    <w:p w14:paraId="6CAF8240" w14:textId="77777777" w:rsidR="0070679B" w:rsidRPr="0070679B" w:rsidRDefault="0070679B" w:rsidP="0070679B">
      <w:pPr>
        <w:rPr>
          <w:bCs/>
          <w:lang w:val="en-US"/>
        </w:rPr>
      </w:pPr>
    </w:p>
    <w:p w14:paraId="2424C444" w14:textId="77777777" w:rsidR="0070679B" w:rsidRPr="0070679B" w:rsidRDefault="0070679B" w:rsidP="0070679B">
      <w:pPr>
        <w:rPr>
          <w:bCs/>
          <w:lang w:val="en-US"/>
        </w:rPr>
      </w:pPr>
    </w:p>
    <w:p w14:paraId="318A37A6" w14:textId="77777777" w:rsidR="0070679B" w:rsidRPr="0070679B" w:rsidRDefault="0070679B" w:rsidP="0070679B">
      <w:pPr>
        <w:rPr>
          <w:bCs/>
          <w:lang w:val="en-US"/>
        </w:rPr>
      </w:pPr>
    </w:p>
    <w:p w14:paraId="1E85B811" w14:textId="77777777" w:rsidR="0070679B" w:rsidRPr="0070679B" w:rsidRDefault="0070679B" w:rsidP="0070679B">
      <w:pPr>
        <w:rPr>
          <w:bCs/>
          <w:lang w:val="en-US"/>
        </w:rPr>
      </w:pPr>
    </w:p>
    <w:p w14:paraId="0AF33913" w14:textId="77777777" w:rsidR="0070679B" w:rsidRPr="0070679B" w:rsidRDefault="0070679B" w:rsidP="0070679B">
      <w:pPr>
        <w:rPr>
          <w:bCs/>
          <w:lang w:val="en-US"/>
        </w:rPr>
      </w:pPr>
    </w:p>
    <w:p w14:paraId="2FE139A9" w14:textId="77777777" w:rsidR="0070679B" w:rsidRPr="0070679B" w:rsidRDefault="0070679B" w:rsidP="0070679B">
      <w:pPr>
        <w:rPr>
          <w:bCs/>
          <w:lang w:val="en-US"/>
        </w:rPr>
      </w:pPr>
    </w:p>
    <w:p w14:paraId="6E6DE53A" w14:textId="77777777" w:rsidR="0070679B" w:rsidRPr="0070679B" w:rsidRDefault="0070679B" w:rsidP="0070679B">
      <w:pPr>
        <w:rPr>
          <w:bCs/>
          <w:lang w:val="en-US"/>
        </w:rPr>
      </w:pPr>
    </w:p>
    <w:p w14:paraId="08FFE44D" w14:textId="77777777" w:rsidR="0070679B" w:rsidRPr="0070679B" w:rsidRDefault="0070679B" w:rsidP="0070679B">
      <w:pPr>
        <w:rPr>
          <w:bCs/>
          <w:lang w:val="en-US"/>
        </w:rPr>
      </w:pPr>
    </w:p>
    <w:p w14:paraId="5BE605C2" w14:textId="77777777" w:rsidR="0070679B" w:rsidRPr="0070679B" w:rsidRDefault="0070679B" w:rsidP="0070679B">
      <w:pPr>
        <w:rPr>
          <w:bCs/>
          <w:lang w:val="en-US"/>
        </w:rPr>
      </w:pPr>
    </w:p>
    <w:p w14:paraId="2277CEA0" w14:textId="77777777" w:rsidR="0070679B" w:rsidRPr="0070679B" w:rsidRDefault="0070679B" w:rsidP="0070679B">
      <w:pPr>
        <w:rPr>
          <w:bCs/>
          <w:lang w:val="en-US"/>
        </w:rPr>
      </w:pPr>
    </w:p>
    <w:p w14:paraId="693EA039" w14:textId="77777777" w:rsidR="0070679B" w:rsidRPr="0070679B" w:rsidRDefault="0070679B" w:rsidP="0070679B">
      <w:pPr>
        <w:rPr>
          <w:bCs/>
          <w:lang w:val="en-US"/>
        </w:rPr>
      </w:pPr>
    </w:p>
    <w:p w14:paraId="22958B37" w14:textId="77777777" w:rsidR="0070679B" w:rsidRPr="0070679B" w:rsidRDefault="0070679B" w:rsidP="0070679B">
      <w:pPr>
        <w:rPr>
          <w:bCs/>
          <w:lang w:val="en-US"/>
        </w:rPr>
      </w:pPr>
    </w:p>
    <w:p w14:paraId="5E0A9505" w14:textId="77777777" w:rsidR="0070679B" w:rsidRPr="0070679B" w:rsidRDefault="0070679B" w:rsidP="0070679B">
      <w:pPr>
        <w:rPr>
          <w:b/>
          <w:bCs/>
          <w:lang w:val="en-US"/>
        </w:rPr>
      </w:pPr>
      <w:r w:rsidRPr="0070679B">
        <w:rPr>
          <w:lang w:val="en-US"/>
        </w:rPr>
        <w:t>Supplementary Table 4. Comparison of temporal validation and 10-fold cross-validation for the main model</w:t>
      </w:r>
    </w:p>
    <w:tbl>
      <w:tblPr>
        <w:tblW w:w="8985" w:type="dxa"/>
        <w:tblBorders>
          <w:top w:val="single" w:sz="4" w:space="0" w:color="auto"/>
          <w:bottom w:val="single" w:sz="4" w:space="0" w:color="auto"/>
        </w:tblBorders>
        <w:tblLook w:val="04A0" w:firstRow="1" w:lastRow="0" w:firstColumn="1" w:lastColumn="0" w:noHBand="0" w:noVBand="1"/>
      </w:tblPr>
      <w:tblGrid>
        <w:gridCol w:w="4111"/>
        <w:gridCol w:w="1276"/>
        <w:gridCol w:w="1843"/>
        <w:gridCol w:w="1755"/>
      </w:tblGrid>
      <w:tr w:rsidR="0070679B" w:rsidRPr="0070679B" w14:paraId="3F1187AA" w14:textId="77777777">
        <w:trPr>
          <w:trHeight w:val="297"/>
        </w:trPr>
        <w:tc>
          <w:tcPr>
            <w:tcW w:w="4111" w:type="dxa"/>
            <w:tcBorders>
              <w:top w:val="single" w:sz="4" w:space="0" w:color="auto"/>
              <w:left w:val="nil"/>
              <w:bottom w:val="single" w:sz="4" w:space="0" w:color="000000" w:themeColor="text1"/>
              <w:right w:val="nil"/>
            </w:tcBorders>
            <w:shd w:val="clear" w:color="auto" w:fill="FFFFFF"/>
            <w:vAlign w:val="center"/>
            <w:hideMark/>
          </w:tcPr>
          <w:p w14:paraId="5703CB10" w14:textId="77777777" w:rsidR="0070679B" w:rsidRPr="0070679B" w:rsidRDefault="0070679B" w:rsidP="0070679B">
            <w:pPr>
              <w:rPr>
                <w:b/>
                <w:lang w:val="en-US"/>
              </w:rPr>
            </w:pPr>
            <w:r w:rsidRPr="0070679B">
              <w:rPr>
                <w:b/>
                <w:lang w:val="en-US"/>
              </w:rPr>
              <w:t>Validation method</w:t>
            </w:r>
          </w:p>
        </w:tc>
        <w:tc>
          <w:tcPr>
            <w:tcW w:w="1276" w:type="dxa"/>
            <w:tcBorders>
              <w:top w:val="single" w:sz="4" w:space="0" w:color="auto"/>
              <w:left w:val="nil"/>
              <w:bottom w:val="single" w:sz="4" w:space="0" w:color="000000" w:themeColor="text1"/>
              <w:right w:val="nil"/>
            </w:tcBorders>
            <w:shd w:val="clear" w:color="auto" w:fill="FFFFFF"/>
            <w:vAlign w:val="center"/>
            <w:hideMark/>
          </w:tcPr>
          <w:p w14:paraId="47921461" w14:textId="77777777" w:rsidR="0070679B" w:rsidRPr="0070679B" w:rsidRDefault="0070679B" w:rsidP="0070679B">
            <w:pPr>
              <w:rPr>
                <w:b/>
                <w:lang w:val="en-US"/>
              </w:rPr>
            </w:pPr>
            <w:r w:rsidRPr="0070679B">
              <w:rPr>
                <w:b/>
                <w:lang w:val="en-US"/>
              </w:rPr>
              <w:t>AUC</w:t>
            </w:r>
          </w:p>
        </w:tc>
        <w:tc>
          <w:tcPr>
            <w:tcW w:w="1843" w:type="dxa"/>
            <w:tcBorders>
              <w:top w:val="single" w:sz="4" w:space="0" w:color="auto"/>
              <w:left w:val="nil"/>
              <w:bottom w:val="single" w:sz="4" w:space="0" w:color="000000" w:themeColor="text1"/>
              <w:right w:val="nil"/>
            </w:tcBorders>
            <w:shd w:val="clear" w:color="auto" w:fill="FFFFFF"/>
            <w:vAlign w:val="center"/>
            <w:hideMark/>
          </w:tcPr>
          <w:p w14:paraId="4A24B8D6" w14:textId="77777777" w:rsidR="0070679B" w:rsidRPr="0070679B" w:rsidRDefault="0070679B" w:rsidP="0070679B">
            <w:pPr>
              <w:rPr>
                <w:b/>
                <w:lang w:val="en-US"/>
              </w:rPr>
            </w:pPr>
            <w:r w:rsidRPr="0070679B">
              <w:rPr>
                <w:b/>
                <w:lang w:val="en-US"/>
              </w:rPr>
              <w:t>95% CI</w:t>
            </w:r>
          </w:p>
        </w:tc>
        <w:tc>
          <w:tcPr>
            <w:tcW w:w="1755" w:type="dxa"/>
            <w:tcBorders>
              <w:top w:val="single" w:sz="4" w:space="0" w:color="auto"/>
              <w:left w:val="nil"/>
              <w:bottom w:val="nil"/>
              <w:right w:val="nil"/>
            </w:tcBorders>
            <w:vAlign w:val="center"/>
            <w:hideMark/>
          </w:tcPr>
          <w:p w14:paraId="7DD3BD49" w14:textId="77777777" w:rsidR="0070679B" w:rsidRPr="0070679B" w:rsidRDefault="0070679B" w:rsidP="0070679B">
            <w:pPr>
              <w:rPr>
                <w:b/>
                <w:lang w:val="en-US"/>
              </w:rPr>
            </w:pPr>
            <w:r w:rsidRPr="0070679B">
              <w:rPr>
                <w:b/>
                <w:lang w:val="en-US"/>
              </w:rPr>
              <w:t>Brier score</w:t>
            </w:r>
          </w:p>
        </w:tc>
      </w:tr>
      <w:tr w:rsidR="0070679B" w:rsidRPr="0070679B" w14:paraId="0745D390" w14:textId="77777777">
        <w:trPr>
          <w:trHeight w:val="297"/>
        </w:trPr>
        <w:tc>
          <w:tcPr>
            <w:tcW w:w="4111" w:type="dxa"/>
            <w:tcBorders>
              <w:top w:val="single" w:sz="4" w:space="0" w:color="000000" w:themeColor="text1"/>
              <w:left w:val="nil"/>
              <w:bottom w:val="single" w:sz="4" w:space="0" w:color="E8E8E8" w:themeColor="background2"/>
              <w:right w:val="nil"/>
            </w:tcBorders>
            <w:shd w:val="clear" w:color="auto" w:fill="FFFFFF"/>
            <w:vAlign w:val="center"/>
            <w:hideMark/>
          </w:tcPr>
          <w:p w14:paraId="1E8E5F33" w14:textId="77777777" w:rsidR="0070679B" w:rsidRPr="0070679B" w:rsidRDefault="0070679B" w:rsidP="0070679B">
            <w:pPr>
              <w:rPr>
                <w:bCs/>
                <w:lang w:val="en-US"/>
              </w:rPr>
            </w:pPr>
            <w:r w:rsidRPr="0070679B">
              <w:rPr>
                <w:bCs/>
                <w:lang w:val="en-US"/>
              </w:rPr>
              <w:t>Temporal validation (2025 cohort)</w:t>
            </w:r>
          </w:p>
        </w:tc>
        <w:tc>
          <w:tcPr>
            <w:tcW w:w="1276" w:type="dxa"/>
            <w:tcBorders>
              <w:top w:val="single" w:sz="4" w:space="0" w:color="000000" w:themeColor="text1"/>
              <w:left w:val="nil"/>
              <w:bottom w:val="single" w:sz="4" w:space="0" w:color="E8E8E8" w:themeColor="background2"/>
              <w:right w:val="nil"/>
            </w:tcBorders>
            <w:shd w:val="clear" w:color="auto" w:fill="FFFFFF"/>
            <w:vAlign w:val="center"/>
            <w:hideMark/>
          </w:tcPr>
          <w:p w14:paraId="56E6E438" w14:textId="77777777" w:rsidR="0070679B" w:rsidRPr="0070679B" w:rsidRDefault="0070679B" w:rsidP="0070679B">
            <w:pPr>
              <w:rPr>
                <w:bCs/>
                <w:lang w:val="en-US"/>
              </w:rPr>
            </w:pPr>
            <w:r w:rsidRPr="0070679B">
              <w:rPr>
                <w:bCs/>
                <w:lang w:val="en-US"/>
              </w:rPr>
              <w:t>0.629</w:t>
            </w:r>
          </w:p>
        </w:tc>
        <w:tc>
          <w:tcPr>
            <w:tcW w:w="1843" w:type="dxa"/>
            <w:tcBorders>
              <w:top w:val="single" w:sz="4" w:space="0" w:color="000000" w:themeColor="text1"/>
              <w:left w:val="nil"/>
              <w:bottom w:val="single" w:sz="4" w:space="0" w:color="E8E8E8" w:themeColor="background2"/>
              <w:right w:val="nil"/>
            </w:tcBorders>
            <w:shd w:val="clear" w:color="auto" w:fill="FFFFFF"/>
            <w:vAlign w:val="center"/>
            <w:hideMark/>
          </w:tcPr>
          <w:p w14:paraId="72CE1720" w14:textId="77777777" w:rsidR="0070679B" w:rsidRPr="0070679B" w:rsidRDefault="0070679B" w:rsidP="0070679B">
            <w:pPr>
              <w:rPr>
                <w:bCs/>
                <w:lang w:val="en-US"/>
              </w:rPr>
            </w:pPr>
            <w:r w:rsidRPr="0070679B">
              <w:rPr>
                <w:bCs/>
                <w:lang w:val="en-US"/>
              </w:rPr>
              <w:t>0.488–0.770</w:t>
            </w:r>
          </w:p>
        </w:tc>
        <w:tc>
          <w:tcPr>
            <w:tcW w:w="1755" w:type="dxa"/>
            <w:tcBorders>
              <w:top w:val="single" w:sz="4" w:space="0" w:color="000000" w:themeColor="text1"/>
              <w:left w:val="nil"/>
              <w:bottom w:val="single" w:sz="4" w:space="0" w:color="E8E8E8" w:themeColor="background2"/>
              <w:right w:val="nil"/>
            </w:tcBorders>
            <w:shd w:val="clear" w:color="auto" w:fill="FFFFFF"/>
            <w:vAlign w:val="center"/>
            <w:hideMark/>
          </w:tcPr>
          <w:p w14:paraId="675A1E35" w14:textId="77777777" w:rsidR="0070679B" w:rsidRPr="0070679B" w:rsidRDefault="0070679B" w:rsidP="0070679B">
            <w:pPr>
              <w:rPr>
                <w:bCs/>
                <w:lang w:val="en-US"/>
              </w:rPr>
            </w:pPr>
            <w:r w:rsidRPr="0070679B">
              <w:rPr>
                <w:bCs/>
                <w:lang w:val="en-US"/>
              </w:rPr>
              <w:t>0.254</w:t>
            </w:r>
          </w:p>
        </w:tc>
      </w:tr>
      <w:tr w:rsidR="0070679B" w:rsidRPr="0070679B" w14:paraId="54FEC143" w14:textId="77777777">
        <w:trPr>
          <w:trHeight w:val="297"/>
        </w:trPr>
        <w:tc>
          <w:tcPr>
            <w:tcW w:w="4111" w:type="dxa"/>
            <w:tcBorders>
              <w:top w:val="single" w:sz="4" w:space="0" w:color="E8E8E8" w:themeColor="background2"/>
              <w:left w:val="nil"/>
              <w:bottom w:val="single" w:sz="4" w:space="0" w:color="auto"/>
              <w:right w:val="nil"/>
            </w:tcBorders>
            <w:shd w:val="clear" w:color="auto" w:fill="FFFFFF"/>
            <w:vAlign w:val="center"/>
            <w:hideMark/>
          </w:tcPr>
          <w:p w14:paraId="1CD1FBE7" w14:textId="77777777" w:rsidR="0070679B" w:rsidRPr="0070679B" w:rsidRDefault="0070679B" w:rsidP="0070679B">
            <w:pPr>
              <w:rPr>
                <w:bCs/>
                <w:lang w:val="en-US"/>
              </w:rPr>
            </w:pPr>
            <w:r w:rsidRPr="0070679B">
              <w:rPr>
                <w:bCs/>
                <w:lang w:val="en-US"/>
              </w:rPr>
              <w:t>10</w:t>
            </w:r>
            <w:r w:rsidRPr="0070679B">
              <w:rPr>
                <w:bCs/>
                <w:lang w:val="en-US"/>
              </w:rPr>
              <w:noBreakHyphen/>
              <w:t>fold cross</w:t>
            </w:r>
            <w:r w:rsidRPr="0070679B">
              <w:rPr>
                <w:bCs/>
                <w:lang w:val="en-US"/>
              </w:rPr>
              <w:noBreakHyphen/>
              <w:t>validation</w:t>
            </w:r>
          </w:p>
        </w:tc>
        <w:tc>
          <w:tcPr>
            <w:tcW w:w="1276" w:type="dxa"/>
            <w:tcBorders>
              <w:top w:val="single" w:sz="4" w:space="0" w:color="E8E8E8" w:themeColor="background2"/>
              <w:left w:val="nil"/>
              <w:bottom w:val="single" w:sz="4" w:space="0" w:color="auto"/>
              <w:right w:val="nil"/>
            </w:tcBorders>
            <w:shd w:val="clear" w:color="auto" w:fill="FFFFFF"/>
            <w:vAlign w:val="center"/>
            <w:hideMark/>
          </w:tcPr>
          <w:p w14:paraId="3EB9966C" w14:textId="77777777" w:rsidR="0070679B" w:rsidRPr="0070679B" w:rsidRDefault="0070679B" w:rsidP="0070679B">
            <w:pPr>
              <w:rPr>
                <w:bCs/>
                <w:lang w:val="en-US"/>
              </w:rPr>
            </w:pPr>
            <w:r w:rsidRPr="0070679B">
              <w:rPr>
                <w:bCs/>
                <w:lang w:val="en-US"/>
              </w:rPr>
              <w:t>0.617</w:t>
            </w:r>
          </w:p>
        </w:tc>
        <w:tc>
          <w:tcPr>
            <w:tcW w:w="1843" w:type="dxa"/>
            <w:tcBorders>
              <w:top w:val="single" w:sz="4" w:space="0" w:color="E8E8E8" w:themeColor="background2"/>
              <w:left w:val="nil"/>
              <w:bottom w:val="single" w:sz="4" w:space="0" w:color="auto"/>
              <w:right w:val="nil"/>
            </w:tcBorders>
            <w:shd w:val="clear" w:color="auto" w:fill="FFFFFF"/>
            <w:vAlign w:val="center"/>
            <w:hideMark/>
          </w:tcPr>
          <w:p w14:paraId="70CC8E57" w14:textId="77777777" w:rsidR="0070679B" w:rsidRPr="0070679B" w:rsidRDefault="0070679B" w:rsidP="0070679B">
            <w:pPr>
              <w:rPr>
                <w:bCs/>
                <w:lang w:val="en-US"/>
              </w:rPr>
            </w:pPr>
            <w:r w:rsidRPr="0070679B">
              <w:rPr>
                <w:bCs/>
                <w:lang w:val="en-US"/>
              </w:rPr>
              <w:t>0.555–0.679</w:t>
            </w:r>
          </w:p>
        </w:tc>
        <w:tc>
          <w:tcPr>
            <w:tcW w:w="1755" w:type="dxa"/>
            <w:tcBorders>
              <w:top w:val="single" w:sz="4" w:space="0" w:color="E8E8E8" w:themeColor="background2"/>
              <w:left w:val="nil"/>
              <w:bottom w:val="single" w:sz="4" w:space="0" w:color="auto"/>
              <w:right w:val="nil"/>
            </w:tcBorders>
            <w:shd w:val="clear" w:color="auto" w:fill="FFFFFF"/>
            <w:vAlign w:val="center"/>
            <w:hideMark/>
          </w:tcPr>
          <w:p w14:paraId="727D8907" w14:textId="77777777" w:rsidR="0070679B" w:rsidRPr="0070679B" w:rsidRDefault="0070679B" w:rsidP="0070679B">
            <w:pPr>
              <w:rPr>
                <w:bCs/>
                <w:lang w:val="en-US"/>
              </w:rPr>
            </w:pPr>
            <w:r w:rsidRPr="0070679B">
              <w:rPr>
                <w:bCs/>
                <w:lang w:val="en-US"/>
              </w:rPr>
              <w:t>0.210</w:t>
            </w:r>
          </w:p>
        </w:tc>
      </w:tr>
    </w:tbl>
    <w:p w14:paraId="4C48FA96" w14:textId="77777777" w:rsidR="0070679B" w:rsidRPr="0070679B" w:rsidRDefault="0070679B" w:rsidP="0070679B">
      <w:pPr>
        <w:rPr>
          <w:bCs/>
          <w:lang w:val="en-US"/>
        </w:rPr>
      </w:pPr>
      <w:r w:rsidRPr="0070679B">
        <w:rPr>
          <w:bCs/>
          <w:lang w:val="en-US"/>
        </w:rPr>
        <w:t>AUC = area under the curve; CI = confidence interval. Temporal validation was performed in the 2025 validation cohort (n = 73 with non</w:t>
      </w:r>
      <w:r w:rsidRPr="0070679B">
        <w:rPr>
          <w:bCs/>
          <w:lang w:val="en-US"/>
        </w:rPr>
        <w:noBreakHyphen/>
        <w:t>missing outcomes). Ten</w:t>
      </w:r>
      <w:r w:rsidRPr="0070679B">
        <w:rPr>
          <w:bCs/>
          <w:lang w:val="en-US"/>
        </w:rPr>
        <w:noBreakHyphen/>
        <w:t>fold cross</w:t>
      </w:r>
      <w:r w:rsidRPr="0070679B">
        <w:rPr>
          <w:bCs/>
          <w:lang w:val="en-US"/>
        </w:rPr>
        <w:noBreakHyphen/>
        <w:t>validation was performed in the development cohort complete</w:t>
      </w:r>
      <w:r w:rsidRPr="0070679B">
        <w:rPr>
          <w:bCs/>
          <w:lang w:val="en-US"/>
        </w:rPr>
        <w:noBreakHyphen/>
        <w:t>case sample (n = 321).</w:t>
      </w:r>
    </w:p>
    <w:p w14:paraId="26C21EC4" w14:textId="77777777" w:rsidR="0070679B" w:rsidRPr="0070679B" w:rsidRDefault="0070679B" w:rsidP="0070679B">
      <w:pPr>
        <w:rPr>
          <w:bCs/>
          <w:lang w:val="en-US"/>
        </w:rPr>
      </w:pPr>
    </w:p>
    <w:p w14:paraId="0023099E" w14:textId="77777777" w:rsidR="0070679B" w:rsidRPr="0070679B" w:rsidRDefault="0070679B" w:rsidP="0070679B">
      <w:pPr>
        <w:rPr>
          <w:bCs/>
          <w:lang w:val="en-US"/>
        </w:rPr>
      </w:pPr>
    </w:p>
    <w:p w14:paraId="5B349FA7" w14:textId="77777777" w:rsidR="0070679B" w:rsidRPr="0070679B" w:rsidRDefault="0070679B" w:rsidP="0070679B">
      <w:pPr>
        <w:rPr>
          <w:bCs/>
          <w:lang w:val="en-US"/>
        </w:rPr>
      </w:pPr>
    </w:p>
    <w:p w14:paraId="0CDDBEC9" w14:textId="77777777" w:rsidR="0070679B" w:rsidRPr="0070679B" w:rsidRDefault="0070679B" w:rsidP="0070679B">
      <w:pPr>
        <w:rPr>
          <w:bCs/>
          <w:lang w:val="en-US"/>
        </w:rPr>
      </w:pPr>
    </w:p>
    <w:p w14:paraId="31ECE336" w14:textId="77777777" w:rsidR="0070679B" w:rsidRPr="0070679B" w:rsidRDefault="0070679B" w:rsidP="0070679B">
      <w:pPr>
        <w:rPr>
          <w:bCs/>
          <w:lang w:val="en-US"/>
        </w:rPr>
      </w:pPr>
    </w:p>
    <w:p w14:paraId="67D55F50" w14:textId="77777777" w:rsidR="0070679B" w:rsidRPr="0070679B" w:rsidRDefault="0070679B" w:rsidP="0070679B">
      <w:pPr>
        <w:rPr>
          <w:bCs/>
          <w:lang w:val="en-US"/>
        </w:rPr>
      </w:pPr>
    </w:p>
    <w:p w14:paraId="7FB671F3" w14:textId="77777777" w:rsidR="0070679B" w:rsidRPr="0070679B" w:rsidRDefault="0070679B" w:rsidP="0070679B">
      <w:pPr>
        <w:rPr>
          <w:bCs/>
          <w:lang w:val="en-US"/>
        </w:rPr>
      </w:pPr>
    </w:p>
    <w:p w14:paraId="153E7B14" w14:textId="77777777" w:rsidR="0070679B" w:rsidRPr="0070679B" w:rsidRDefault="0070679B" w:rsidP="0070679B">
      <w:pPr>
        <w:rPr>
          <w:bCs/>
          <w:lang w:val="en-US"/>
        </w:rPr>
      </w:pPr>
    </w:p>
    <w:p w14:paraId="1904753A" w14:textId="77777777" w:rsidR="0070679B" w:rsidRPr="0070679B" w:rsidRDefault="0070679B" w:rsidP="0070679B">
      <w:pPr>
        <w:rPr>
          <w:bCs/>
          <w:lang w:val="en-US"/>
        </w:rPr>
      </w:pPr>
    </w:p>
    <w:p w14:paraId="5B11E612" w14:textId="77777777" w:rsidR="0070679B" w:rsidRPr="0070679B" w:rsidRDefault="0070679B" w:rsidP="0070679B">
      <w:pPr>
        <w:rPr>
          <w:bCs/>
          <w:lang w:val="en-US"/>
        </w:rPr>
      </w:pPr>
    </w:p>
    <w:p w14:paraId="58B41CA0" w14:textId="77777777" w:rsidR="0070679B" w:rsidRPr="0070679B" w:rsidRDefault="0070679B" w:rsidP="0070679B">
      <w:pPr>
        <w:rPr>
          <w:bCs/>
          <w:lang w:val="en-US"/>
        </w:rPr>
      </w:pPr>
    </w:p>
    <w:p w14:paraId="10BB0909" w14:textId="77777777" w:rsidR="0070679B" w:rsidRPr="0070679B" w:rsidRDefault="0070679B" w:rsidP="0070679B">
      <w:pPr>
        <w:rPr>
          <w:bCs/>
          <w:lang w:val="en-US"/>
        </w:rPr>
      </w:pPr>
    </w:p>
    <w:p w14:paraId="725648C0" w14:textId="77777777" w:rsidR="0070679B" w:rsidRPr="0070679B" w:rsidRDefault="0070679B" w:rsidP="0070679B">
      <w:pPr>
        <w:rPr>
          <w:bCs/>
          <w:lang w:val="en-US"/>
        </w:rPr>
      </w:pPr>
    </w:p>
    <w:p w14:paraId="7331ED93" w14:textId="77777777" w:rsidR="0070679B" w:rsidRPr="0070679B" w:rsidRDefault="0070679B" w:rsidP="0070679B">
      <w:pPr>
        <w:rPr>
          <w:bCs/>
          <w:lang w:val="en-US"/>
        </w:rPr>
      </w:pPr>
    </w:p>
    <w:p w14:paraId="5D741C1C" w14:textId="77777777" w:rsidR="0070679B" w:rsidRPr="0070679B" w:rsidRDefault="0070679B" w:rsidP="0070679B">
      <w:pPr>
        <w:rPr>
          <w:bCs/>
          <w:lang w:val="en-US"/>
        </w:rPr>
      </w:pPr>
    </w:p>
    <w:p w14:paraId="4A6733D1" w14:textId="77777777" w:rsidR="0070679B" w:rsidRPr="0070679B" w:rsidRDefault="0070679B" w:rsidP="0070679B">
      <w:pPr>
        <w:rPr>
          <w:b/>
          <w:lang w:val="en-US"/>
        </w:rPr>
      </w:pPr>
      <w:r w:rsidRPr="0070679B">
        <w:rPr>
          <w:b/>
          <w:lang w:val="en-US"/>
        </w:rPr>
        <w:t>Supplementary Figures and Legends</w:t>
      </w:r>
    </w:p>
    <w:p w14:paraId="743BA400" w14:textId="77777777" w:rsidR="0070679B" w:rsidRPr="0070679B" w:rsidRDefault="0070679B" w:rsidP="0070679B">
      <w:pPr>
        <w:rPr>
          <w:bCs/>
          <w:lang w:val="en-US"/>
        </w:rPr>
      </w:pPr>
    </w:p>
    <w:p w14:paraId="2F0F945B" w14:textId="77777777" w:rsidR="0070679B" w:rsidRPr="0070679B" w:rsidRDefault="0070679B" w:rsidP="0070679B">
      <w:pPr>
        <w:rPr>
          <w:b/>
          <w:bCs/>
          <w:lang w:val="en-US"/>
        </w:rPr>
      </w:pPr>
      <w:r w:rsidRPr="0070679B">
        <w:rPr>
          <w:b/>
          <w:lang w:val="en-US"/>
        </w:rPr>
        <w:t>Supplementary Fig. 1</w:t>
      </w:r>
    </w:p>
    <w:p w14:paraId="03BB2062" w14:textId="7346B656" w:rsidR="0070679B" w:rsidRPr="0070679B" w:rsidRDefault="0070679B" w:rsidP="0070679B">
      <w:pPr>
        <w:rPr>
          <w:bCs/>
          <w:lang w:val="en-US"/>
        </w:rPr>
      </w:pPr>
      <w:r w:rsidRPr="0070679B">
        <w:rPr>
          <w:lang w:val="en-US"/>
        </w:rPr>
        <w:drawing>
          <wp:inline distT="0" distB="0" distL="0" distR="0" wp14:anchorId="3A78B880" wp14:editId="4FEE4CCE">
            <wp:extent cx="5270500" cy="4464050"/>
            <wp:effectExtent l="0" t="0" r="6350" b="0"/>
            <wp:docPr id="16913317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0500" cy="4464050"/>
                    </a:xfrm>
                    <a:prstGeom prst="rect">
                      <a:avLst/>
                    </a:prstGeom>
                    <a:noFill/>
                    <a:ln>
                      <a:noFill/>
                    </a:ln>
                  </pic:spPr>
                </pic:pic>
              </a:graphicData>
            </a:graphic>
          </wp:inline>
        </w:drawing>
      </w:r>
    </w:p>
    <w:p w14:paraId="3CD6015B" w14:textId="77777777" w:rsidR="0070679B" w:rsidRPr="0070679B" w:rsidRDefault="0070679B" w:rsidP="0070679B">
      <w:pPr>
        <w:rPr>
          <w:lang w:val="en-US"/>
        </w:rPr>
      </w:pPr>
      <w:r w:rsidRPr="0070679B">
        <w:rPr>
          <w:b/>
          <w:lang w:val="en-US"/>
        </w:rPr>
        <w:lastRenderedPageBreak/>
        <w:t xml:space="preserve">Supplementary Fig 1. </w:t>
      </w:r>
      <w:r w:rsidRPr="0070679B">
        <w:rPr>
          <w:b/>
          <w:bCs/>
          <w:lang w:val="en-US"/>
        </w:rPr>
        <w:t>ROC curve for the sensitivity model using three-level surgical extent classification (</w:t>
      </w:r>
      <w:proofErr w:type="spellStart"/>
      <w:r w:rsidRPr="0070679B">
        <w:rPr>
          <w:b/>
          <w:bCs/>
          <w:lang w:val="en-US"/>
        </w:rPr>
        <w:t>rangeABC</w:t>
      </w:r>
      <w:proofErr w:type="spellEnd"/>
      <w:r w:rsidRPr="0070679B">
        <w:rPr>
          <w:b/>
          <w:bCs/>
          <w:lang w:val="en-US"/>
        </w:rPr>
        <w:t>) in the validation cohort.</w:t>
      </w:r>
      <w:r w:rsidRPr="0070679B">
        <w:rPr>
          <w:lang w:val="en-US"/>
        </w:rPr>
        <w:t xml:space="preserve"> Temporal validation of the model using the three-level surgical extent classification yielded an area under the curve (AUC) of 0.624 (95% CI 0.482–0.766).</w:t>
      </w:r>
    </w:p>
    <w:p w14:paraId="78FECAE9" w14:textId="77777777" w:rsidR="0070679B" w:rsidRPr="0070679B" w:rsidRDefault="0070679B" w:rsidP="0070679B">
      <w:pPr>
        <w:rPr>
          <w:bCs/>
          <w:lang w:val="en-US"/>
        </w:rPr>
      </w:pPr>
    </w:p>
    <w:p w14:paraId="61BB3817" w14:textId="77777777" w:rsidR="0070679B" w:rsidRPr="0070679B" w:rsidRDefault="0070679B" w:rsidP="0070679B">
      <w:pPr>
        <w:rPr>
          <w:bCs/>
          <w:lang w:val="en-US"/>
        </w:rPr>
      </w:pPr>
    </w:p>
    <w:p w14:paraId="6663B67A" w14:textId="77777777" w:rsidR="0070679B" w:rsidRPr="0070679B" w:rsidRDefault="0070679B" w:rsidP="0070679B">
      <w:pPr>
        <w:rPr>
          <w:bCs/>
          <w:lang w:val="en-US"/>
        </w:rPr>
      </w:pPr>
    </w:p>
    <w:p w14:paraId="1A5C4448" w14:textId="77777777" w:rsidR="0070679B" w:rsidRPr="0070679B" w:rsidRDefault="0070679B" w:rsidP="0070679B">
      <w:pPr>
        <w:rPr>
          <w:bCs/>
          <w:lang w:val="en-US"/>
        </w:rPr>
      </w:pPr>
    </w:p>
    <w:p w14:paraId="60B44F74" w14:textId="77777777" w:rsidR="0070679B" w:rsidRPr="0070679B" w:rsidRDefault="0070679B" w:rsidP="0070679B">
      <w:pPr>
        <w:rPr>
          <w:bCs/>
          <w:lang w:val="en-US"/>
        </w:rPr>
      </w:pPr>
    </w:p>
    <w:p w14:paraId="0058F20E" w14:textId="77777777" w:rsidR="0070679B" w:rsidRPr="0070679B" w:rsidRDefault="0070679B" w:rsidP="0070679B">
      <w:pPr>
        <w:rPr>
          <w:b/>
          <w:bCs/>
          <w:lang w:val="en-US"/>
        </w:rPr>
      </w:pPr>
      <w:r w:rsidRPr="0070679B">
        <w:rPr>
          <w:b/>
          <w:lang w:val="en-US"/>
        </w:rPr>
        <w:t>Supplementary Fig. 2</w:t>
      </w:r>
    </w:p>
    <w:p w14:paraId="6F4ABF8D" w14:textId="6554608E" w:rsidR="0070679B" w:rsidRPr="0070679B" w:rsidRDefault="0070679B" w:rsidP="0070679B">
      <w:pPr>
        <w:rPr>
          <w:bCs/>
          <w:lang w:val="en-US"/>
        </w:rPr>
      </w:pPr>
      <w:r w:rsidRPr="0070679B">
        <w:rPr>
          <w:lang w:val="en-US"/>
        </w:rPr>
        <w:drawing>
          <wp:inline distT="0" distB="0" distL="0" distR="0" wp14:anchorId="444AC7C3" wp14:editId="38A321CC">
            <wp:extent cx="5276850" cy="4368800"/>
            <wp:effectExtent l="0" t="0" r="0" b="0"/>
            <wp:docPr id="3575547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4368800"/>
                    </a:xfrm>
                    <a:prstGeom prst="rect">
                      <a:avLst/>
                    </a:prstGeom>
                    <a:noFill/>
                    <a:ln>
                      <a:noFill/>
                    </a:ln>
                  </pic:spPr>
                </pic:pic>
              </a:graphicData>
            </a:graphic>
          </wp:inline>
        </w:drawing>
      </w:r>
    </w:p>
    <w:p w14:paraId="21A37478" w14:textId="77777777" w:rsidR="0070679B" w:rsidRPr="0070679B" w:rsidRDefault="0070679B" w:rsidP="0070679B">
      <w:pPr>
        <w:rPr>
          <w:b/>
          <w:lang w:val="en-US"/>
        </w:rPr>
      </w:pPr>
      <w:r w:rsidRPr="0070679B">
        <w:rPr>
          <w:b/>
          <w:lang w:val="en-US"/>
        </w:rPr>
        <w:t xml:space="preserve">Fig. S2. ROC curves comparing the POD1 total calcium-only model and the main multivariable model in the validation cohort. </w:t>
      </w:r>
      <w:r w:rsidRPr="0070679B">
        <w:rPr>
          <w:bCs/>
          <w:lang w:val="en-US"/>
        </w:rPr>
        <w:t>Receiver operating characteristic (ROC) curves for the POD1 total calcium-only model and the main multivariable model in the temporal validation cohort (2025). The area under the curve (AUC) was 0.625 (95% CI 0.484–0.766) for the POD1 total calcium-only model and 0.629 (95% CI 0.488–0.770) for the main multivariable model. Discrimination was similar between the two models.</w:t>
      </w:r>
    </w:p>
    <w:p w14:paraId="16B7E534" w14:textId="77777777" w:rsidR="0070679B" w:rsidRPr="0070679B" w:rsidRDefault="0070679B" w:rsidP="0070679B">
      <w:pPr>
        <w:rPr>
          <w:bCs/>
          <w:lang w:val="en-US"/>
        </w:rPr>
      </w:pPr>
    </w:p>
    <w:p w14:paraId="27E0CBEA" w14:textId="77777777" w:rsidR="0070679B" w:rsidRPr="0070679B" w:rsidRDefault="0070679B" w:rsidP="0070679B">
      <w:pPr>
        <w:rPr>
          <w:bCs/>
          <w:lang w:val="en-US"/>
        </w:rPr>
      </w:pPr>
    </w:p>
    <w:p w14:paraId="75FBA98B" w14:textId="77777777" w:rsidR="0070679B" w:rsidRPr="0070679B" w:rsidRDefault="0070679B" w:rsidP="0070679B">
      <w:pPr>
        <w:rPr>
          <w:bCs/>
          <w:lang w:val="en-US"/>
        </w:rPr>
      </w:pPr>
    </w:p>
    <w:p w14:paraId="52A43C05" w14:textId="77777777" w:rsidR="0070679B" w:rsidRPr="0070679B" w:rsidRDefault="0070679B" w:rsidP="0070679B">
      <w:pPr>
        <w:rPr>
          <w:bCs/>
          <w:lang w:val="en-US"/>
        </w:rPr>
      </w:pPr>
    </w:p>
    <w:p w14:paraId="019F75D8" w14:textId="1AD149DD" w:rsidR="0070679B" w:rsidRPr="0070679B" w:rsidRDefault="0070679B" w:rsidP="0070679B">
      <w:pPr>
        <w:rPr>
          <w:b/>
          <w:bCs/>
          <w:lang w:val="en-US"/>
        </w:rPr>
      </w:pPr>
      <w:r w:rsidRPr="0070679B">
        <w:rPr>
          <w:b/>
          <w:lang w:val="en-US"/>
        </w:rPr>
        <w:t>Supplementary Fig. 3</w:t>
      </w:r>
      <w:r w:rsidRPr="0070679B">
        <w:rPr>
          <w:lang w:val="en-US"/>
        </w:rPr>
        <w:drawing>
          <wp:inline distT="0" distB="0" distL="0" distR="0" wp14:anchorId="03DE65B3" wp14:editId="22E3DE3B">
            <wp:extent cx="5276850" cy="4248150"/>
            <wp:effectExtent l="0" t="0" r="0" b="0"/>
            <wp:docPr id="831718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6850" cy="4248150"/>
                    </a:xfrm>
                    <a:prstGeom prst="rect">
                      <a:avLst/>
                    </a:prstGeom>
                    <a:noFill/>
                    <a:ln>
                      <a:noFill/>
                    </a:ln>
                  </pic:spPr>
                </pic:pic>
              </a:graphicData>
            </a:graphic>
          </wp:inline>
        </w:drawing>
      </w:r>
    </w:p>
    <w:p w14:paraId="5D7893C4" w14:textId="77777777" w:rsidR="0070679B" w:rsidRPr="0070679B" w:rsidRDefault="0070679B" w:rsidP="0070679B">
      <w:pPr>
        <w:rPr>
          <w:bCs/>
          <w:lang w:val="en-US"/>
        </w:rPr>
      </w:pPr>
      <w:r w:rsidRPr="0070679B">
        <w:rPr>
          <w:b/>
          <w:lang w:val="en-US"/>
        </w:rPr>
        <w:t xml:space="preserve">Fig. S3. ROC curves comparing single predictors in the validation cohort. </w:t>
      </w:r>
      <w:r w:rsidRPr="0070679B">
        <w:rPr>
          <w:bCs/>
          <w:lang w:val="en-US"/>
        </w:rPr>
        <w:t xml:space="preserve">Receiver operating characteristic (ROC) curves comparing single predictors in the temporal validation cohort. Discrimination performance was evaluated for postoperative day 1 (POD1) total calcium, parathyroid </w:t>
      </w:r>
      <w:proofErr w:type="spellStart"/>
      <w:r w:rsidRPr="0070679B">
        <w:rPr>
          <w:bCs/>
          <w:lang w:val="en-US"/>
        </w:rPr>
        <w:t>autotransplantation</w:t>
      </w:r>
      <w:proofErr w:type="spellEnd"/>
      <w:r w:rsidRPr="0070679B">
        <w:rPr>
          <w:bCs/>
          <w:lang w:val="en-US"/>
        </w:rPr>
        <w:t xml:space="preserve"> number, operative duration, and binary surgical extent. POD1 total calcium showed the highest discrimination among single predictors, although overall performance remained modest.</w:t>
      </w:r>
    </w:p>
    <w:p w14:paraId="75C9BE29" w14:textId="77777777" w:rsidR="0070679B" w:rsidRPr="0070679B" w:rsidRDefault="0070679B" w:rsidP="0070679B">
      <w:pPr>
        <w:rPr>
          <w:bCs/>
          <w:lang w:val="en-US"/>
        </w:rPr>
      </w:pPr>
    </w:p>
    <w:p w14:paraId="57912F24" w14:textId="77777777" w:rsidR="0070679B" w:rsidRPr="0070679B" w:rsidRDefault="0070679B" w:rsidP="0070679B">
      <w:pPr>
        <w:rPr>
          <w:bCs/>
          <w:lang w:val="en-US"/>
        </w:rPr>
      </w:pPr>
    </w:p>
    <w:p w14:paraId="77CA68D8" w14:textId="77777777" w:rsidR="0070679B" w:rsidRPr="0070679B" w:rsidRDefault="0070679B" w:rsidP="0070679B">
      <w:pPr>
        <w:rPr>
          <w:bCs/>
          <w:lang w:val="en-US"/>
        </w:rPr>
      </w:pPr>
    </w:p>
    <w:p w14:paraId="2B250E79" w14:textId="77777777" w:rsidR="0070679B" w:rsidRPr="0070679B" w:rsidRDefault="0070679B" w:rsidP="0070679B">
      <w:pPr>
        <w:rPr>
          <w:bCs/>
          <w:lang w:val="en-US"/>
        </w:rPr>
      </w:pPr>
    </w:p>
    <w:p w14:paraId="47A8EFEE" w14:textId="77777777" w:rsidR="0070679B" w:rsidRPr="0070679B" w:rsidRDefault="0070679B" w:rsidP="0070679B">
      <w:pPr>
        <w:rPr>
          <w:bCs/>
          <w:lang w:val="en-US"/>
        </w:rPr>
      </w:pPr>
    </w:p>
    <w:p w14:paraId="37094B3D" w14:textId="77777777" w:rsidR="0070679B" w:rsidRPr="0070679B" w:rsidRDefault="0070679B" w:rsidP="0070679B">
      <w:pPr>
        <w:rPr>
          <w:bCs/>
          <w:lang w:val="en-US"/>
        </w:rPr>
      </w:pPr>
    </w:p>
    <w:p w14:paraId="7A982B76" w14:textId="77777777" w:rsidR="0070679B" w:rsidRPr="0070679B" w:rsidRDefault="0070679B" w:rsidP="0070679B">
      <w:pPr>
        <w:rPr>
          <w:b/>
          <w:lang w:val="en-US"/>
        </w:rPr>
      </w:pPr>
      <w:r w:rsidRPr="0070679B">
        <w:rPr>
          <w:b/>
          <w:lang w:val="en-US"/>
        </w:rPr>
        <w:t>Supplementary Fig. 4</w:t>
      </w:r>
    </w:p>
    <w:p w14:paraId="3AC858EF" w14:textId="0D640DCD" w:rsidR="0070679B" w:rsidRPr="0070679B" w:rsidRDefault="0070679B" w:rsidP="0070679B">
      <w:pPr>
        <w:rPr>
          <w:bCs/>
          <w:lang w:val="en-US"/>
        </w:rPr>
      </w:pPr>
      <w:r w:rsidRPr="0070679B">
        <w:rPr>
          <w:b/>
          <w:lang w:val="en-US"/>
        </w:rPr>
        <w:drawing>
          <wp:inline distT="0" distB="0" distL="0" distR="0" wp14:anchorId="05F0400C" wp14:editId="6EA364EF">
            <wp:extent cx="3937000" cy="4470400"/>
            <wp:effectExtent l="0" t="0" r="6350" b="6350"/>
            <wp:docPr id="15475366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0" cy="4470400"/>
                    </a:xfrm>
                    <a:prstGeom prst="rect">
                      <a:avLst/>
                    </a:prstGeom>
                    <a:noFill/>
                    <a:ln>
                      <a:noFill/>
                    </a:ln>
                  </pic:spPr>
                </pic:pic>
              </a:graphicData>
            </a:graphic>
          </wp:inline>
        </w:drawing>
      </w:r>
    </w:p>
    <w:p w14:paraId="3308A776" w14:textId="77777777" w:rsidR="0070679B" w:rsidRPr="0070679B" w:rsidRDefault="0070679B" w:rsidP="0070679B">
      <w:pPr>
        <w:rPr>
          <w:bCs/>
          <w:lang w:val="en-US"/>
        </w:rPr>
      </w:pPr>
      <w:r w:rsidRPr="0070679B">
        <w:rPr>
          <w:lang w:val="en-US"/>
        </w:rPr>
        <w:t>Fig. S4. Receiver operating characteristic (ROC) curves for different models in the supplementary same-center cross-surgeon cohort (n = 101). The POD1 total calcium-only model achieved an AUC of 0.722; operative duration alone gave an AUC of 0.739; the refitted main multivariable model yielded an AUC of 0.825; the refitted three-level surgical extent model also gave an AUC of 0.825. These apparent performance estimates are higher than those observed in the temporal validation cohort, suggesting potential overfitting or differences in case mix.</w:t>
      </w:r>
    </w:p>
    <w:p w14:paraId="213C10C3"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79B"/>
    <w:rsid w:val="0070679B"/>
    <w:rsid w:val="00767E38"/>
    <w:rsid w:val="00866F7D"/>
    <w:rsid w:val="00B75879"/>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B1F72"/>
  <w15:chartTrackingRefBased/>
  <w15:docId w15:val="{23176CC0-DB97-4B25-9EFC-13A3B079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7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7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7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79B"/>
    <w:rPr>
      <w:rFonts w:eastAsiaTheme="majorEastAsia" w:cstheme="majorBidi"/>
      <w:color w:val="272727" w:themeColor="text1" w:themeTint="D8"/>
    </w:rPr>
  </w:style>
  <w:style w:type="paragraph" w:styleId="Title">
    <w:name w:val="Title"/>
    <w:basedOn w:val="Normal"/>
    <w:next w:val="Normal"/>
    <w:link w:val="TitleChar"/>
    <w:uiPriority w:val="10"/>
    <w:qFormat/>
    <w:rsid w:val="00706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7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79B"/>
    <w:pPr>
      <w:spacing w:before="160"/>
      <w:jc w:val="center"/>
    </w:pPr>
    <w:rPr>
      <w:i/>
      <w:iCs/>
      <w:color w:val="404040" w:themeColor="text1" w:themeTint="BF"/>
    </w:rPr>
  </w:style>
  <w:style w:type="character" w:customStyle="1" w:styleId="QuoteChar">
    <w:name w:val="Quote Char"/>
    <w:basedOn w:val="DefaultParagraphFont"/>
    <w:link w:val="Quote"/>
    <w:uiPriority w:val="29"/>
    <w:rsid w:val="0070679B"/>
    <w:rPr>
      <w:i/>
      <w:iCs/>
      <w:color w:val="404040" w:themeColor="text1" w:themeTint="BF"/>
    </w:rPr>
  </w:style>
  <w:style w:type="paragraph" w:styleId="ListParagraph">
    <w:name w:val="List Paragraph"/>
    <w:basedOn w:val="Normal"/>
    <w:uiPriority w:val="34"/>
    <w:qFormat/>
    <w:rsid w:val="0070679B"/>
    <w:pPr>
      <w:ind w:left="720"/>
      <w:contextualSpacing/>
    </w:pPr>
  </w:style>
  <w:style w:type="character" w:styleId="IntenseEmphasis">
    <w:name w:val="Intense Emphasis"/>
    <w:basedOn w:val="DefaultParagraphFont"/>
    <w:uiPriority w:val="21"/>
    <w:qFormat/>
    <w:rsid w:val="0070679B"/>
    <w:rPr>
      <w:i/>
      <w:iCs/>
      <w:color w:val="0F4761" w:themeColor="accent1" w:themeShade="BF"/>
    </w:rPr>
  </w:style>
  <w:style w:type="paragraph" w:styleId="IntenseQuote">
    <w:name w:val="Intense Quote"/>
    <w:basedOn w:val="Normal"/>
    <w:next w:val="Normal"/>
    <w:link w:val="IntenseQuoteChar"/>
    <w:uiPriority w:val="30"/>
    <w:qFormat/>
    <w:rsid w:val="00706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79B"/>
    <w:rPr>
      <w:i/>
      <w:iCs/>
      <w:color w:val="0F4761" w:themeColor="accent1" w:themeShade="BF"/>
    </w:rPr>
  </w:style>
  <w:style w:type="character" w:styleId="IntenseReference">
    <w:name w:val="Intense Reference"/>
    <w:basedOn w:val="DefaultParagraphFont"/>
    <w:uiPriority w:val="32"/>
    <w:qFormat/>
    <w:rsid w:val="0070679B"/>
    <w:rPr>
      <w:b/>
      <w:bCs/>
      <w:smallCaps/>
      <w:color w:val="0F4761" w:themeColor="accent1" w:themeShade="BF"/>
      <w:spacing w:val="5"/>
    </w:rPr>
  </w:style>
  <w:style w:type="table" w:styleId="TableGrid">
    <w:name w:val="Table Grid"/>
    <w:basedOn w:val="TableNormal"/>
    <w:uiPriority w:val="39"/>
    <w:rsid w:val="00706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2026-04-30T15:10:00Z</dcterms:created>
  <dcterms:modified xsi:type="dcterms:W3CDTF">2026-04-30T15:10:00Z</dcterms:modified>
</cp:coreProperties>
</file>